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3088D" w14:textId="152B5535" w:rsidR="009E1B92" w:rsidRDefault="00AF2274" w:rsidP="00911EFA">
      <w:pPr>
        <w:spacing w:line="360" w:lineRule="auto"/>
        <w:jc w:val="both"/>
        <w:rPr>
          <w:b/>
        </w:rPr>
      </w:pPr>
      <w:r w:rsidRPr="00AF2274">
        <w:rPr>
          <w:b/>
        </w:rPr>
        <w:t>Intro/overview/hook</w:t>
      </w:r>
    </w:p>
    <w:p w14:paraId="3A7093AB" w14:textId="2F08E349" w:rsidR="00D548BC" w:rsidRDefault="00D548BC" w:rsidP="00911EFA">
      <w:pPr>
        <w:spacing w:line="360" w:lineRule="auto"/>
        <w:jc w:val="both"/>
        <w:rPr>
          <w:b/>
          <w:color w:val="FF0000"/>
        </w:rPr>
      </w:pPr>
      <w:r>
        <w:rPr>
          <w:b/>
          <w:color w:val="FF0000"/>
        </w:rPr>
        <w:t>Title slide</w:t>
      </w:r>
      <w:r w:rsidR="00675A39">
        <w:rPr>
          <w:b/>
          <w:color w:val="FF0000"/>
        </w:rPr>
        <w:t xml:space="preserve"> – </w:t>
      </w:r>
      <w:proofErr w:type="gramStart"/>
      <w:r w:rsidR="00675A39">
        <w:rPr>
          <w:b/>
          <w:color w:val="FF0000"/>
        </w:rPr>
        <w:t>More Lonely</w:t>
      </w:r>
      <w:proofErr w:type="gramEnd"/>
      <w:r w:rsidR="00675A39">
        <w:rPr>
          <w:b/>
          <w:color w:val="FF0000"/>
        </w:rPr>
        <w:t xml:space="preserve"> Ere –</w:t>
      </w:r>
      <w:r w:rsidR="00B96055">
        <w:rPr>
          <w:b/>
          <w:color w:val="FF0000"/>
        </w:rPr>
        <w:t xml:space="preserve"> </w:t>
      </w:r>
      <w:proofErr w:type="spellStart"/>
      <w:r w:rsidR="00B96055">
        <w:rPr>
          <w:b/>
          <w:color w:val="FF0000"/>
        </w:rPr>
        <w:t>Iddiorythmic</w:t>
      </w:r>
      <w:proofErr w:type="spellEnd"/>
      <w:r w:rsidR="00B96055">
        <w:rPr>
          <w:b/>
          <w:color w:val="FF0000"/>
        </w:rPr>
        <w:t xml:space="preserve"> communities and</w:t>
      </w:r>
      <w:r w:rsidR="00675A39">
        <w:rPr>
          <w:b/>
          <w:color w:val="FF0000"/>
        </w:rPr>
        <w:t xml:space="preserve"> the nostalgic lens</w:t>
      </w:r>
    </w:p>
    <w:p w14:paraId="707461EE" w14:textId="3A214CC6" w:rsidR="00D548BC" w:rsidRPr="00AE167A" w:rsidRDefault="00D548BC" w:rsidP="00911EFA">
      <w:pPr>
        <w:spacing w:line="360" w:lineRule="auto"/>
        <w:jc w:val="both"/>
        <w:rPr>
          <w:b/>
          <w:color w:val="FF0000"/>
        </w:rPr>
      </w:pPr>
      <w:r>
        <w:rPr>
          <w:b/>
          <w:color w:val="FF0000"/>
        </w:rPr>
        <w:t>Next Slide –</w:t>
      </w:r>
      <w:r w:rsidRPr="00AE167A">
        <w:rPr>
          <w:color w:val="FF0000"/>
        </w:rPr>
        <w:t xml:space="preserve"> (Hannah/Cephas)</w:t>
      </w:r>
    </w:p>
    <w:p w14:paraId="72ABEC0D" w14:textId="0C96CBA9" w:rsidR="003A48B7" w:rsidRDefault="007E134F" w:rsidP="00911EFA">
      <w:pPr>
        <w:spacing w:line="360" w:lineRule="auto"/>
        <w:jc w:val="both"/>
      </w:pPr>
      <w:r>
        <w:t>When you walk</w:t>
      </w:r>
      <w:r w:rsidR="00AF2274">
        <w:t xml:space="preserve"> the streets local to where you </w:t>
      </w:r>
      <w:r>
        <w:t>live</w:t>
      </w:r>
      <w:r w:rsidR="00530A6D">
        <w:t>,</w:t>
      </w:r>
      <w:r w:rsidR="00F07D9F">
        <w:t xml:space="preserve"> </w:t>
      </w:r>
      <w:r w:rsidR="00CB3C66">
        <w:t>t</w:t>
      </w:r>
      <w:r w:rsidR="00AF2274">
        <w:t>o the shops, or even as you make the commute to work</w:t>
      </w:r>
      <w:r w:rsidR="00530A6D">
        <w:t>, h</w:t>
      </w:r>
      <w:r w:rsidR="00AF2274">
        <w:t>ave you ever noticed the same people that make the same journey and who move in the same spaces as you do – in front, to the side and behind you? These people are familiar but you do not know them, you are abstract to them – even though they occupy the same community as you</w:t>
      </w:r>
      <w:r w:rsidR="00AF3D4A">
        <w:t xml:space="preserve"> and they may even share many of the same experiences as you</w:t>
      </w:r>
      <w:r w:rsidR="00AF2274">
        <w:t>.</w:t>
      </w:r>
    </w:p>
    <w:p w14:paraId="379E089A" w14:textId="29D91695" w:rsidR="00D548BC" w:rsidRPr="00AE167A" w:rsidRDefault="00D548BC" w:rsidP="00911EFA">
      <w:pPr>
        <w:spacing w:line="360" w:lineRule="auto"/>
        <w:jc w:val="both"/>
        <w:rPr>
          <w:b/>
          <w:color w:val="FF0000"/>
        </w:rPr>
      </w:pPr>
      <w:r w:rsidRPr="00AE167A">
        <w:rPr>
          <w:b/>
          <w:color w:val="FF0000"/>
        </w:rPr>
        <w:t>Next Slide – (</w:t>
      </w:r>
      <w:r w:rsidRPr="00AE167A">
        <w:rPr>
          <w:color w:val="FF0000"/>
        </w:rPr>
        <w:t>Watford Map)</w:t>
      </w:r>
    </w:p>
    <w:p w14:paraId="488B9EF7" w14:textId="7EDDA266" w:rsidR="003A48B7" w:rsidRDefault="00C242BA" w:rsidP="00911EFA">
      <w:pPr>
        <w:spacing w:line="360" w:lineRule="auto"/>
        <w:jc w:val="both"/>
      </w:pPr>
      <w:r>
        <w:t>Watford is a large town in the south east of England, situated within the bounds of the M25 but is not London. It is in Hertfordshire but not anything like the pastoral countryside of the Home Counties either. Its identity is closely intertwined with the way that it is designed to transport you away or through it</w:t>
      </w:r>
      <w:r w:rsidR="002E20FC">
        <w:t>. F</w:t>
      </w:r>
      <w:r w:rsidR="003A48B7">
        <w:t>or the commuter</w:t>
      </w:r>
      <w:r w:rsidR="002E20FC">
        <w:t xml:space="preserve">, this is ideal, placing you </w:t>
      </w:r>
      <w:r w:rsidR="00020B30">
        <w:t>within</w:t>
      </w:r>
      <w:r w:rsidR="002E20FC">
        <w:t xml:space="preserve"> a </w:t>
      </w:r>
      <w:r w:rsidR="00020B30">
        <w:t>stone’s</w:t>
      </w:r>
      <w:r w:rsidR="002E20FC">
        <w:t xml:space="preserve"> throw to the capital and affording you the opportunity to escape the urban sprawl when not working</w:t>
      </w:r>
      <w:r w:rsidR="003A48B7">
        <w:t>.</w:t>
      </w:r>
    </w:p>
    <w:p w14:paraId="2F5E4778" w14:textId="77777777" w:rsidR="00C242BA" w:rsidRDefault="000C2F5C" w:rsidP="00911EFA">
      <w:pPr>
        <w:spacing w:line="360" w:lineRule="auto"/>
        <w:jc w:val="both"/>
      </w:pPr>
      <w:r>
        <w:t xml:space="preserve"> </w:t>
      </w:r>
      <w:r w:rsidR="003A48B7">
        <w:t>It is a between place.</w:t>
      </w:r>
      <w:r w:rsidR="002E20FC">
        <w:t xml:space="preserve"> </w:t>
      </w:r>
    </w:p>
    <w:p w14:paraId="4EE882FC" w14:textId="5152AE38" w:rsidR="003A48B7" w:rsidRPr="00AE167A" w:rsidRDefault="00D548BC" w:rsidP="00911EFA">
      <w:pPr>
        <w:spacing w:line="360" w:lineRule="auto"/>
        <w:jc w:val="both"/>
        <w:rPr>
          <w:color w:val="FF0000"/>
        </w:rPr>
      </w:pPr>
      <w:r w:rsidRPr="00AE167A">
        <w:rPr>
          <w:b/>
          <w:color w:val="FF0000"/>
        </w:rPr>
        <w:t xml:space="preserve">Next Slide – </w:t>
      </w:r>
      <w:r w:rsidRPr="00AE167A">
        <w:rPr>
          <w:color w:val="FF0000"/>
        </w:rPr>
        <w:t>(tree/Sarah)</w:t>
      </w:r>
    </w:p>
    <w:p w14:paraId="4F0404E2" w14:textId="17AC1373" w:rsidR="00D548BC" w:rsidRDefault="00530A6D" w:rsidP="00911EFA">
      <w:pPr>
        <w:spacing w:line="360" w:lineRule="auto"/>
        <w:jc w:val="both"/>
      </w:pPr>
      <w:r>
        <w:t xml:space="preserve">My </w:t>
      </w:r>
      <w:r w:rsidR="007E134F">
        <w:t>photographic series</w:t>
      </w:r>
      <w:r w:rsidR="00C242BA">
        <w:t xml:space="preserve"> started as a personal investigation into connection to place. One that I have lived for the past 7 years without ever referring to a</w:t>
      </w:r>
      <w:r w:rsidR="00B706F8">
        <w:t>s</w:t>
      </w:r>
      <w:r w:rsidR="00C242BA">
        <w:t xml:space="preserve"> home - </w:t>
      </w:r>
      <w:r w:rsidR="00C242BA" w:rsidRPr="00C242BA">
        <w:t>even though, I met my wife here and my daughter was born here</w:t>
      </w:r>
      <w:r w:rsidR="00B706F8">
        <w:t xml:space="preserve">. With the onset of the pandemic, </w:t>
      </w:r>
      <w:r w:rsidR="002E20FC">
        <w:t xml:space="preserve">I found myself walking more and exploring Watford in much more detail and noticing the same people under </w:t>
      </w:r>
      <w:r w:rsidR="00E7117E">
        <w:t xml:space="preserve">the same </w:t>
      </w:r>
      <w:r w:rsidR="002E20FC">
        <w:t xml:space="preserve">imperative to keep distant. </w:t>
      </w:r>
    </w:p>
    <w:p w14:paraId="69E6F1C5" w14:textId="7D0022FB" w:rsidR="00D548BC" w:rsidRPr="00AE167A" w:rsidRDefault="00D548BC" w:rsidP="00911EFA">
      <w:pPr>
        <w:spacing w:line="360" w:lineRule="auto"/>
        <w:jc w:val="both"/>
        <w:rPr>
          <w:color w:val="FF0000"/>
        </w:rPr>
      </w:pPr>
      <w:r w:rsidRPr="00AE167A">
        <w:rPr>
          <w:b/>
          <w:color w:val="FF0000"/>
        </w:rPr>
        <w:t xml:space="preserve">Next Slide </w:t>
      </w:r>
      <w:r>
        <w:rPr>
          <w:b/>
          <w:color w:val="FF0000"/>
        </w:rPr>
        <w:t>–</w:t>
      </w:r>
      <w:r w:rsidRPr="00AE167A">
        <w:rPr>
          <w:b/>
          <w:color w:val="FF0000"/>
        </w:rPr>
        <w:t xml:space="preserve"> </w:t>
      </w:r>
      <w:r>
        <w:rPr>
          <w:color w:val="FF0000"/>
        </w:rPr>
        <w:t>(Church/Ryan)</w:t>
      </w:r>
    </w:p>
    <w:p w14:paraId="1CA4E7FF" w14:textId="4D4A63A6" w:rsidR="00AF2274" w:rsidRDefault="002E20FC" w:rsidP="00911EFA">
      <w:pPr>
        <w:spacing w:line="360" w:lineRule="auto"/>
        <w:jc w:val="both"/>
      </w:pPr>
      <w:r>
        <w:t>I</w:t>
      </w:r>
      <w:r w:rsidR="00B706F8">
        <w:t>t became an opportunity to have a dialogue and journey through this separated existence of individual</w:t>
      </w:r>
      <w:r w:rsidR="003A48B7">
        <w:t>ism</w:t>
      </w:r>
      <w:r w:rsidR="00B706F8">
        <w:t xml:space="preserve"> to evaluate the idea of home and sanctuary; forging </w:t>
      </w:r>
      <w:r w:rsidR="007E134F">
        <w:t xml:space="preserve">a </w:t>
      </w:r>
      <w:r w:rsidR="00B706F8">
        <w:t xml:space="preserve">new relationship with space and </w:t>
      </w:r>
      <w:r w:rsidR="00894597">
        <w:t>the people that I share it with and cha</w:t>
      </w:r>
      <w:r>
        <w:t>llenge an identity of</w:t>
      </w:r>
      <w:r w:rsidR="00F07D9F">
        <w:t xml:space="preserve"> </w:t>
      </w:r>
      <w:r w:rsidR="005E52E5">
        <w:t>a</w:t>
      </w:r>
      <w:r w:rsidR="00530A6D">
        <w:t xml:space="preserve"> commuting town</w:t>
      </w:r>
      <w:r w:rsidR="00E7117E">
        <w:t xml:space="preserve"> </w:t>
      </w:r>
      <w:r w:rsidR="00894597">
        <w:t>when there is no more commuting.</w:t>
      </w:r>
      <w:bookmarkStart w:id="0" w:name="_GoBack"/>
      <w:bookmarkEnd w:id="0"/>
    </w:p>
    <w:p w14:paraId="7D64F614" w14:textId="77777777" w:rsidR="00AF2274" w:rsidRPr="00AF2274" w:rsidRDefault="00AF2274" w:rsidP="00911EFA">
      <w:pPr>
        <w:spacing w:line="360" w:lineRule="auto"/>
        <w:jc w:val="both"/>
        <w:rPr>
          <w:b/>
        </w:rPr>
      </w:pPr>
      <w:r w:rsidRPr="00AF2274">
        <w:rPr>
          <w:b/>
        </w:rPr>
        <w:t>Theoretical framework/research question</w:t>
      </w:r>
    </w:p>
    <w:p w14:paraId="1EFDC34B" w14:textId="0739F77B" w:rsidR="00473A3B" w:rsidRPr="00AE167A" w:rsidRDefault="00473A3B" w:rsidP="00911EFA">
      <w:pPr>
        <w:spacing w:line="360" w:lineRule="auto"/>
        <w:jc w:val="both"/>
        <w:rPr>
          <w:color w:val="FF0000"/>
        </w:rPr>
      </w:pPr>
      <w:r>
        <w:rPr>
          <w:b/>
          <w:color w:val="FF0000"/>
        </w:rPr>
        <w:t xml:space="preserve">Next Slide – </w:t>
      </w:r>
      <w:r>
        <w:rPr>
          <w:color w:val="FF0000"/>
        </w:rPr>
        <w:t>(</w:t>
      </w:r>
      <w:r w:rsidR="00FB0B7B">
        <w:rPr>
          <w:color w:val="FF0000"/>
        </w:rPr>
        <w:t>M25 Over the canal</w:t>
      </w:r>
      <w:r>
        <w:rPr>
          <w:color w:val="FF0000"/>
        </w:rPr>
        <w:t>)</w:t>
      </w:r>
    </w:p>
    <w:p w14:paraId="2541524E" w14:textId="4BD83385" w:rsidR="003A48B7" w:rsidRDefault="009D2F31" w:rsidP="00911EFA">
      <w:pPr>
        <w:spacing w:line="360" w:lineRule="auto"/>
        <w:jc w:val="both"/>
      </w:pPr>
      <w:r>
        <w:t xml:space="preserve">My own ideas of connection </w:t>
      </w:r>
      <w:r w:rsidR="00530A6D">
        <w:t xml:space="preserve">have </w:t>
      </w:r>
      <w:r>
        <w:t>led me to consider the way that communities have become ever more</w:t>
      </w:r>
      <w:r w:rsidR="003A48B7">
        <w:t xml:space="preserve"> disconnected and disparate</w:t>
      </w:r>
      <w:r>
        <w:t xml:space="preserve">, or is that merely </w:t>
      </w:r>
      <w:r w:rsidR="00F07D9F">
        <w:t xml:space="preserve">the </w:t>
      </w:r>
      <w:r>
        <w:t xml:space="preserve">perception? </w:t>
      </w:r>
      <w:r w:rsidR="003A48B7">
        <w:t xml:space="preserve">Watford’s position as a commuter </w:t>
      </w:r>
      <w:r w:rsidR="003A48B7">
        <w:lastRenderedPageBreak/>
        <w:t xml:space="preserve">town into the capital means that the place values </w:t>
      </w:r>
      <w:r w:rsidR="00530A6D">
        <w:t>the things which help people to make</w:t>
      </w:r>
      <w:r w:rsidR="003A48B7">
        <w:t xml:space="preserve"> quick exit: The London orbital, the M1, main line train to Euston and also Watford’s position at the end of the </w:t>
      </w:r>
      <w:r w:rsidR="00491A54">
        <w:t>over ground</w:t>
      </w:r>
      <w:r w:rsidR="003A48B7">
        <w:t xml:space="preserve"> and the </w:t>
      </w:r>
      <w:r w:rsidR="00530A6D">
        <w:t>M</w:t>
      </w:r>
      <w:r w:rsidR="003A48B7">
        <w:t xml:space="preserve">etropolitan TFL network. </w:t>
      </w:r>
    </w:p>
    <w:p w14:paraId="077946D2" w14:textId="78D4B0E8" w:rsidR="00473A3B" w:rsidRPr="00AE167A" w:rsidRDefault="00473A3B" w:rsidP="00911EFA">
      <w:pPr>
        <w:spacing w:line="360" w:lineRule="auto"/>
        <w:jc w:val="both"/>
        <w:rPr>
          <w:color w:val="FF0000"/>
        </w:rPr>
      </w:pPr>
      <w:r>
        <w:rPr>
          <w:b/>
          <w:color w:val="FF0000"/>
        </w:rPr>
        <w:t xml:space="preserve">Next Slide – </w:t>
      </w:r>
      <w:r>
        <w:rPr>
          <w:color w:val="FF0000"/>
        </w:rPr>
        <w:t>(</w:t>
      </w:r>
      <w:r w:rsidR="000123AF">
        <w:rPr>
          <w:color w:val="FF0000"/>
        </w:rPr>
        <w:t>window image)</w:t>
      </w:r>
    </w:p>
    <w:p w14:paraId="6543FE5B" w14:textId="1C6D7A56" w:rsidR="00F27A9B" w:rsidRDefault="00491A54" w:rsidP="00911EFA">
      <w:pPr>
        <w:spacing w:line="360" w:lineRule="auto"/>
        <w:jc w:val="both"/>
      </w:pPr>
      <w:r>
        <w:t xml:space="preserve">This identity was fundamentally challenged when the pandemic and first lockdown came. Instead of commuting out of Watford we </w:t>
      </w:r>
      <w:r w:rsidR="00530A6D">
        <w:t>were</w:t>
      </w:r>
      <w:r>
        <w:t xml:space="preserve"> encouraged to stay home in what was being referred to as the ‘new normal’ as if to contrast a past normal. Our lives have been inextricably changed, yes. But a larger question about the way comm</w:t>
      </w:r>
      <w:r w:rsidR="00D70D14">
        <w:t xml:space="preserve">unities evolve is raised. </w:t>
      </w:r>
      <w:r w:rsidR="002E20FC">
        <w:t>The</w:t>
      </w:r>
      <w:r w:rsidR="001471CD">
        <w:t>re</w:t>
      </w:r>
      <w:r w:rsidR="001463E7">
        <w:t xml:space="preserve"> is a</w:t>
      </w:r>
      <w:r w:rsidR="002E20FC">
        <w:t xml:space="preserve"> tendency to judge the present on an idealistic</w:t>
      </w:r>
      <w:r w:rsidR="001471CD">
        <w:t xml:space="preserve"> view of the past, based on nostalgic longing for how things were better before</w:t>
      </w:r>
      <w:r w:rsidR="00CA0D34">
        <w:t>, even if this has never existed</w:t>
      </w:r>
      <w:r w:rsidR="001471CD">
        <w:t xml:space="preserve">. </w:t>
      </w:r>
      <w:r w:rsidR="00F27A9B">
        <w:t xml:space="preserve">Suzanne Keller </w:t>
      </w:r>
      <w:r w:rsidR="00CA0D34">
        <w:t>puts it best</w:t>
      </w:r>
      <w:r w:rsidR="00F27A9B">
        <w:t xml:space="preserve">: </w:t>
      </w:r>
    </w:p>
    <w:p w14:paraId="0F6720D0" w14:textId="7E68EE84" w:rsidR="00F27A9B" w:rsidRPr="00F27A9B" w:rsidRDefault="00F27A9B" w:rsidP="00911EFA">
      <w:pPr>
        <w:spacing w:line="360" w:lineRule="auto"/>
        <w:jc w:val="both"/>
        <w:rPr>
          <w:color w:val="FF0000"/>
        </w:rPr>
      </w:pPr>
      <w:r>
        <w:rPr>
          <w:b/>
          <w:color w:val="FF0000"/>
        </w:rPr>
        <w:t xml:space="preserve">Next Slide – </w:t>
      </w:r>
      <w:r>
        <w:rPr>
          <w:color w:val="FF0000"/>
        </w:rPr>
        <w:t>(Keller Quote)</w:t>
      </w:r>
    </w:p>
    <w:p w14:paraId="1D717170" w14:textId="1FF7BCEF" w:rsidR="00F27A9B" w:rsidRPr="00105C3B" w:rsidRDefault="00F27A9B" w:rsidP="00911EFA">
      <w:pPr>
        <w:spacing w:line="360" w:lineRule="auto"/>
        <w:jc w:val="both"/>
        <w:rPr>
          <w:i/>
        </w:rPr>
      </w:pPr>
      <w:r w:rsidRPr="00105C3B">
        <w:rPr>
          <w:i/>
        </w:rPr>
        <w:t xml:space="preserve">“the present search for community harks back to the nineteenth century when, in the face of rapid urbanisation, one idea of community was dying and no other had yet emerged to its place. This led human beings to construct an ideal (because lost) past or to design an ideal (because unrealised) future” </w:t>
      </w:r>
      <w:sdt>
        <w:sdtPr>
          <w:rPr>
            <w:i/>
          </w:rPr>
          <w:id w:val="-2000424881"/>
          <w:citation/>
        </w:sdtPr>
        <w:sdtEndPr/>
        <w:sdtContent>
          <w:r w:rsidRPr="00105C3B">
            <w:rPr>
              <w:i/>
            </w:rPr>
            <w:fldChar w:fldCharType="begin"/>
          </w:r>
          <w:r w:rsidRPr="00105C3B">
            <w:rPr>
              <w:i/>
            </w:rPr>
            <w:instrText xml:space="preserve">CITATION Kel88 \p 167 \l 2057 </w:instrText>
          </w:r>
          <w:r w:rsidRPr="00105C3B">
            <w:rPr>
              <w:i/>
            </w:rPr>
            <w:fldChar w:fldCharType="separate"/>
          </w:r>
          <w:r w:rsidRPr="00105C3B">
            <w:rPr>
              <w:i/>
              <w:noProof/>
            </w:rPr>
            <w:t>(Keller, 1988, p. 167)</w:t>
          </w:r>
          <w:r w:rsidRPr="00105C3B">
            <w:rPr>
              <w:i/>
            </w:rPr>
            <w:fldChar w:fldCharType="end"/>
          </w:r>
        </w:sdtContent>
      </w:sdt>
    </w:p>
    <w:p w14:paraId="55FF49AF" w14:textId="7C81DFBE" w:rsidR="00491A54" w:rsidRDefault="00D70D14" w:rsidP="00911EFA">
      <w:pPr>
        <w:spacing w:line="360" w:lineRule="auto"/>
        <w:jc w:val="both"/>
      </w:pPr>
      <w:r>
        <w:t>The pandemic</w:t>
      </w:r>
      <w:r w:rsidR="001471CD">
        <w:t xml:space="preserve"> brings this into sharp focus for everybody in an extremely short period</w:t>
      </w:r>
      <w:r w:rsidR="00052D69">
        <w:t xml:space="preserve"> of time</w:t>
      </w:r>
      <w:r w:rsidR="001471CD">
        <w:t xml:space="preserve">. We can quickly contrast a life and community that existed only a few months previously. </w:t>
      </w:r>
    </w:p>
    <w:p w14:paraId="0C93AE1B" w14:textId="7BD9AAE4" w:rsidR="000123AF" w:rsidRPr="00AE167A" w:rsidRDefault="000123AF" w:rsidP="00911EFA">
      <w:pPr>
        <w:spacing w:line="360" w:lineRule="auto"/>
        <w:jc w:val="both"/>
        <w:rPr>
          <w:color w:val="FF0000"/>
        </w:rPr>
      </w:pPr>
      <w:r>
        <w:rPr>
          <w:b/>
          <w:color w:val="FF0000"/>
        </w:rPr>
        <w:t xml:space="preserve">Next Slide – </w:t>
      </w:r>
      <w:r>
        <w:rPr>
          <w:color w:val="FF0000"/>
        </w:rPr>
        <w:t>(</w:t>
      </w:r>
      <w:proofErr w:type="spellStart"/>
      <w:r>
        <w:rPr>
          <w:color w:val="FF0000"/>
        </w:rPr>
        <w:t>Carbenders</w:t>
      </w:r>
      <w:proofErr w:type="spellEnd"/>
      <w:r>
        <w:rPr>
          <w:color w:val="FF0000"/>
        </w:rPr>
        <w:t xml:space="preserve"> park tree)</w:t>
      </w:r>
    </w:p>
    <w:p w14:paraId="3DBAA620" w14:textId="7F1ADBFA" w:rsidR="00D1454A" w:rsidRDefault="001471CD" w:rsidP="00911EFA">
      <w:pPr>
        <w:spacing w:line="360" w:lineRule="auto"/>
        <w:jc w:val="both"/>
      </w:pPr>
      <w:r>
        <w:t>This</w:t>
      </w:r>
      <w:r w:rsidR="009D2F31">
        <w:t xml:space="preserve"> nostalgia associated with the</w:t>
      </w:r>
      <w:r w:rsidR="001571F9">
        <w:t xml:space="preserve"> way</w:t>
      </w:r>
      <w:r w:rsidR="009D2F31">
        <w:t xml:space="preserve"> we c</w:t>
      </w:r>
      <w:r>
        <w:t>onsider the past</w:t>
      </w:r>
      <w:r w:rsidR="00530A6D">
        <w:t>, i</w:t>
      </w:r>
      <w:r w:rsidR="0054507D">
        <w:t>n</w:t>
      </w:r>
      <w:r>
        <w:t xml:space="preserve"> part, </w:t>
      </w:r>
      <w:r w:rsidR="0054507D">
        <w:t xml:space="preserve">it </w:t>
      </w:r>
      <w:r w:rsidR="009D2F31">
        <w:t>is shaped by the way that we consume this past, which becomes abstracted and edited as we rely on the construction of p</w:t>
      </w:r>
      <w:r w:rsidR="00F27A9B">
        <w:t>ersonal memory,</w:t>
      </w:r>
      <w:r>
        <w:t xml:space="preserve"> </w:t>
      </w:r>
      <w:r w:rsidR="00F27A9B">
        <w:t xml:space="preserve">hauntological </w:t>
      </w:r>
      <w:r>
        <w:t>photographic reminders</w:t>
      </w:r>
      <w:r w:rsidR="00D1454A">
        <w:t xml:space="preserve">, </w:t>
      </w:r>
      <w:r w:rsidR="00F27A9B">
        <w:t xml:space="preserve">and </w:t>
      </w:r>
      <w:r w:rsidR="00D1454A">
        <w:t>in what Marianne Hirsch terms ‘post-memory.’</w:t>
      </w:r>
      <w:r w:rsidR="0054507D">
        <w:t xml:space="preserve"> </w:t>
      </w:r>
      <w:sdt>
        <w:sdtPr>
          <w:id w:val="-1168167552"/>
          <w:citation/>
        </w:sdtPr>
        <w:sdtEndPr/>
        <w:sdtContent>
          <w:r w:rsidR="00F27A9B">
            <w:fldChar w:fldCharType="begin"/>
          </w:r>
          <w:r w:rsidR="00F27A9B">
            <w:instrText xml:space="preserve"> CITATION Hir97 \l 2057 </w:instrText>
          </w:r>
          <w:r w:rsidR="00F27A9B">
            <w:fldChar w:fldCharType="separate"/>
          </w:r>
          <w:r w:rsidR="00F27A9B" w:rsidRPr="00F27A9B">
            <w:rPr>
              <w:noProof/>
            </w:rPr>
            <w:t>(Hirsch, 1997)</w:t>
          </w:r>
          <w:r w:rsidR="00F27A9B">
            <w:fldChar w:fldCharType="end"/>
          </w:r>
        </w:sdtContent>
      </w:sdt>
    </w:p>
    <w:p w14:paraId="423D3AC1" w14:textId="2A437D37" w:rsidR="000123AF" w:rsidRPr="00AE167A" w:rsidRDefault="00FB0B7B" w:rsidP="00911EFA">
      <w:pPr>
        <w:spacing w:line="360" w:lineRule="auto"/>
        <w:jc w:val="both"/>
        <w:rPr>
          <w:color w:val="FF0000"/>
        </w:rPr>
      </w:pPr>
      <w:r w:rsidRPr="00FB0B7B">
        <w:rPr>
          <w:b/>
          <w:color w:val="FF0000"/>
        </w:rPr>
        <w:t>Next Slide –</w:t>
      </w:r>
      <w:r w:rsidRPr="00F46479">
        <w:rPr>
          <w:b/>
          <w:color w:val="FF0000"/>
        </w:rPr>
        <w:t xml:space="preserve"> </w:t>
      </w:r>
      <w:r w:rsidRPr="00F46479">
        <w:rPr>
          <w:color w:val="FF0000"/>
        </w:rPr>
        <w:t>(Alistair/Kate</w:t>
      </w:r>
      <w:r w:rsidRPr="00E4591E">
        <w:rPr>
          <w:color w:val="FF0000"/>
        </w:rPr>
        <w:t>)</w:t>
      </w:r>
    </w:p>
    <w:p w14:paraId="3C83F483" w14:textId="3F07C8EB" w:rsidR="00C13D86" w:rsidRDefault="001471CD" w:rsidP="00911EFA">
      <w:pPr>
        <w:spacing w:line="360" w:lineRule="auto"/>
        <w:jc w:val="both"/>
      </w:pPr>
      <w:r>
        <w:t>The pandemic also highlight</w:t>
      </w:r>
      <w:r w:rsidR="00530A6D">
        <w:t>ed</w:t>
      </w:r>
      <w:r>
        <w:t xml:space="preserve"> community disparateness. </w:t>
      </w:r>
      <w:r w:rsidR="00D1454A">
        <w:t>People sharing space</w:t>
      </w:r>
      <w:r>
        <w:t>s</w:t>
      </w:r>
      <w:r w:rsidR="00D1454A">
        <w:t xml:space="preserve"> but living separately, </w:t>
      </w:r>
      <w:r w:rsidR="00AF3D4A">
        <w:t xml:space="preserve">which </w:t>
      </w:r>
      <w:r w:rsidR="00D1454A">
        <w:t xml:space="preserve">seems to be a contemporary </w:t>
      </w:r>
      <w:r>
        <w:t>problem,</w:t>
      </w:r>
      <w:r w:rsidR="00AF3D4A">
        <w:t xml:space="preserve"> but what</w:t>
      </w:r>
      <w:r>
        <w:t xml:space="preserve"> Roland Barthes termed</w:t>
      </w:r>
      <w:r w:rsidR="00D1454A">
        <w:t xml:space="preserve"> </w:t>
      </w:r>
      <w:r w:rsidR="001571F9">
        <w:t>‘</w:t>
      </w:r>
      <w:proofErr w:type="spellStart"/>
      <w:r>
        <w:t>Iddiorythm</w:t>
      </w:r>
      <w:proofErr w:type="spellEnd"/>
      <w:r w:rsidR="001571F9">
        <w:t>’</w:t>
      </w:r>
      <w:r>
        <w:t xml:space="preserve"> suggesting </w:t>
      </w:r>
      <w:r w:rsidR="001571F9">
        <w:t xml:space="preserve"> </w:t>
      </w:r>
      <w:r>
        <w:t xml:space="preserve">similarities </w:t>
      </w:r>
      <w:r w:rsidR="001571F9">
        <w:t xml:space="preserve">to the way that some monastic </w:t>
      </w:r>
      <w:r>
        <w:t>communities live within</w:t>
      </w:r>
      <w:r w:rsidR="007E134F">
        <w:t xml:space="preserve"> the sa</w:t>
      </w:r>
      <w:r>
        <w:t>me compounds but</w:t>
      </w:r>
      <w:r w:rsidR="001571F9">
        <w:t xml:space="preserve"> entirely independently from one another</w:t>
      </w:r>
      <w:r>
        <w:t xml:space="preserve"> unless a communal worship of some kind is taking place</w:t>
      </w:r>
      <w:r w:rsidR="001571F9">
        <w:t xml:space="preserve"> – </w:t>
      </w:r>
      <w:r>
        <w:t>or</w:t>
      </w:r>
      <w:r w:rsidR="00996A43">
        <w:t xml:space="preserve"> how each of us live</w:t>
      </w:r>
      <w:r>
        <w:t xml:space="preserve"> </w:t>
      </w:r>
      <w:r w:rsidR="001571F9">
        <w:t xml:space="preserve">according to an individual rhythm. </w:t>
      </w:r>
      <w:proofErr w:type="spellStart"/>
      <w:r w:rsidR="001571F9">
        <w:t>Iddiorythm</w:t>
      </w:r>
      <w:proofErr w:type="spellEnd"/>
      <w:r w:rsidR="001571F9">
        <w:t xml:space="preserve"> is a very Barthian expression in which his idealised view of how we live together is very much related to separation and the value</w:t>
      </w:r>
      <w:r w:rsidR="007E134F">
        <w:t xml:space="preserve"> that he places</w:t>
      </w:r>
      <w:r w:rsidR="001571F9">
        <w:t xml:space="preserve"> on </w:t>
      </w:r>
      <w:r w:rsidR="00C13D86">
        <w:t>‘distance,’ referring to Nietzsche’</w:t>
      </w:r>
      <w:r w:rsidR="00B474FF">
        <w:t>s idea of a</w:t>
      </w:r>
      <w:r w:rsidR="00C13D86">
        <w:t xml:space="preserve"> ‘Pathos of Distance’ </w:t>
      </w:r>
      <w:sdt>
        <w:sdtPr>
          <w:id w:val="1930232226"/>
          <w:citation/>
        </w:sdtPr>
        <w:sdtEndPr/>
        <w:sdtContent>
          <w:r w:rsidR="00C13D86">
            <w:fldChar w:fldCharType="begin"/>
          </w:r>
          <w:r w:rsidR="00C13D86">
            <w:instrText xml:space="preserve"> CITATION Bar121 \l 2057 </w:instrText>
          </w:r>
          <w:r w:rsidR="00C13D86">
            <w:fldChar w:fldCharType="separate"/>
          </w:r>
          <w:r w:rsidR="00C13D86" w:rsidRPr="00C13D86">
            <w:rPr>
              <w:noProof/>
            </w:rPr>
            <w:t>(Barthes, 2012)</w:t>
          </w:r>
          <w:r w:rsidR="00C13D86">
            <w:fldChar w:fldCharType="end"/>
          </w:r>
        </w:sdtContent>
      </w:sdt>
      <w:r w:rsidR="00BD31FD">
        <w:t>, where nobility can be defined by the way it creates separation from others</w:t>
      </w:r>
      <w:r w:rsidR="00AF3D4A">
        <w:t xml:space="preserve"> with an air of remorse and alienation</w:t>
      </w:r>
      <w:r w:rsidR="00BD31FD">
        <w:t>.</w:t>
      </w:r>
      <w:r w:rsidR="00C13D86">
        <w:t xml:space="preserve"> A</w:t>
      </w:r>
      <w:r w:rsidR="001571F9">
        <w:t xml:space="preserve">nd </w:t>
      </w:r>
      <w:r w:rsidR="001571F9">
        <w:lastRenderedPageBreak/>
        <w:t>this becomes ever more prescient when under the current pandemic</w:t>
      </w:r>
      <w:r w:rsidR="00BD31FD">
        <w:t xml:space="preserve"> nobility is defined by the</w:t>
      </w:r>
      <w:r w:rsidR="001571F9">
        <w:t xml:space="preserve"> </w:t>
      </w:r>
      <w:r w:rsidR="00BD31FD">
        <w:t>need</w:t>
      </w:r>
      <w:r w:rsidR="00C13D86">
        <w:t xml:space="preserve"> to </w:t>
      </w:r>
      <w:r w:rsidR="001571F9">
        <w:t>safeguard</w:t>
      </w:r>
      <w:r w:rsidR="00C242BA">
        <w:t xml:space="preserve"> our communities</w:t>
      </w:r>
      <w:r w:rsidR="001571F9">
        <w:t xml:space="preserve"> by remaining </w:t>
      </w:r>
      <w:r w:rsidR="00BD31FD">
        <w:t xml:space="preserve">separate and </w:t>
      </w:r>
      <w:r w:rsidR="001571F9">
        <w:t xml:space="preserve">distant from them. </w:t>
      </w:r>
      <w:proofErr w:type="spellStart"/>
      <w:r w:rsidR="00C13D86">
        <w:t>Idiorythm</w:t>
      </w:r>
      <w:proofErr w:type="spellEnd"/>
      <w:r w:rsidR="00C13D86">
        <w:t xml:space="preserve"> in this context becomes a useful tool to investigate the community and its aptitude to evolve</w:t>
      </w:r>
      <w:r w:rsidR="00BD31FD">
        <w:t xml:space="preserve"> in a short period of time</w:t>
      </w:r>
      <w:r w:rsidR="00C13D86">
        <w:t>.</w:t>
      </w:r>
      <w:r w:rsidR="00AF3D4A">
        <w:t xml:space="preserve"> </w:t>
      </w:r>
    </w:p>
    <w:p w14:paraId="23883DAF" w14:textId="56210F07" w:rsidR="00F46479" w:rsidRPr="00860942" w:rsidRDefault="00F46479" w:rsidP="00911EF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Tesco Path</w:t>
      </w:r>
      <w:r w:rsidRPr="00F55C11">
        <w:rPr>
          <w:color w:val="FF0000"/>
        </w:rPr>
        <w:t>)</w:t>
      </w:r>
    </w:p>
    <w:p w14:paraId="2D482C18" w14:textId="53BC3E54" w:rsidR="0092747E" w:rsidRDefault="00EB47F7" w:rsidP="00911EFA">
      <w:pPr>
        <w:spacing w:line="360" w:lineRule="auto"/>
        <w:jc w:val="both"/>
      </w:pPr>
      <w:proofErr w:type="spellStart"/>
      <w:r>
        <w:t>Iddiorythm</w:t>
      </w:r>
      <w:proofErr w:type="spellEnd"/>
      <w:r>
        <w:t>,</w:t>
      </w:r>
      <w:r w:rsidR="00C13D86">
        <w:t xml:space="preserve"> </w:t>
      </w:r>
      <w:r w:rsidR="00B706F8">
        <w:t>separation</w:t>
      </w:r>
      <w:r>
        <w:t>, and the disparate disconnect of people residing here only</w:t>
      </w:r>
      <w:r w:rsidR="00530A6D">
        <w:t xml:space="preserve"> to</w:t>
      </w:r>
      <w:r>
        <w:t xml:space="preserve"> travel away</w:t>
      </w:r>
      <w:r w:rsidR="00B706F8">
        <w:t xml:space="preserve"> in a town such as Watford</w:t>
      </w:r>
      <w:r>
        <w:t>,</w:t>
      </w:r>
      <w:r w:rsidR="00B706F8">
        <w:t xml:space="preserve"> creates an opportunity to apply the same concept</w:t>
      </w:r>
      <w:r w:rsidR="00C13D86">
        <w:t xml:space="preserve"> </w:t>
      </w:r>
      <w:r w:rsidR="00B706F8">
        <w:t>to place</w:t>
      </w:r>
      <w:r w:rsidR="002F7339">
        <w:t>, which we impact but also impacts us</w:t>
      </w:r>
      <w:r w:rsidR="00B706F8">
        <w:t>. A town that is between city and countryside encourages the question of where one stops and the o</w:t>
      </w:r>
      <w:r w:rsidR="00321C88">
        <w:t>ther begins? Beynon et al</w:t>
      </w:r>
      <w:r w:rsidR="00B706F8">
        <w:t xml:space="preserve"> introduces the elusive concept of ‘Rurality,’ which is always in dispute </w:t>
      </w:r>
      <w:r w:rsidR="00321C88">
        <w:t xml:space="preserve">and not easily defined, noting that there is not a ‘single variable that can ‘capture’ urban/rural settlements </w:t>
      </w:r>
      <w:sdt>
        <w:sdtPr>
          <w:id w:val="-944537865"/>
          <w:citation/>
        </w:sdtPr>
        <w:sdtEndPr/>
        <w:sdtContent>
          <w:r w:rsidR="0092747E">
            <w:fldChar w:fldCharType="begin"/>
          </w:r>
          <w:r w:rsidR="0092747E">
            <w:instrText xml:space="preserve"> CITATION Bey16 \l 2057 </w:instrText>
          </w:r>
          <w:r w:rsidR="0092747E">
            <w:fldChar w:fldCharType="separate"/>
          </w:r>
          <w:r w:rsidR="0092747E" w:rsidRPr="0092747E">
            <w:rPr>
              <w:noProof/>
            </w:rPr>
            <w:t>(Beynon, et al., 2016)</w:t>
          </w:r>
          <w:r w:rsidR="0092747E">
            <w:fldChar w:fldCharType="end"/>
          </w:r>
        </w:sdtContent>
      </w:sdt>
      <w:r w:rsidR="00C13D86">
        <w:t xml:space="preserve"> that also cites</w:t>
      </w:r>
      <w:r w:rsidR="0092747E">
        <w:t xml:space="preserve"> </w:t>
      </w:r>
      <w:r w:rsidR="00530A6D">
        <w:t>W</w:t>
      </w:r>
      <w:r w:rsidR="0092747E">
        <w:t xml:space="preserve">eisheit et </w:t>
      </w:r>
      <w:proofErr w:type="spellStart"/>
      <w:r w:rsidR="0092747E">
        <w:t>al</w:t>
      </w:r>
      <w:r w:rsidR="00894597">
        <w:t>’s</w:t>
      </w:r>
      <w:proofErr w:type="spellEnd"/>
      <w:r w:rsidR="00894597">
        <w:t xml:space="preserve"> 1995</w:t>
      </w:r>
      <w:r w:rsidR="0092747E">
        <w:t xml:space="preserve"> study into crime and policing in rural and small town America</w:t>
      </w:r>
      <w:r w:rsidR="00894597">
        <w:t xml:space="preserve">, </w:t>
      </w:r>
      <w:r w:rsidR="00C13D86">
        <w:t>which discusses</w:t>
      </w:r>
      <w:r w:rsidR="0092747E">
        <w:t xml:space="preserve"> the </w:t>
      </w:r>
      <w:r w:rsidR="00894597">
        <w:t>ambiguous</w:t>
      </w:r>
      <w:r w:rsidR="0092747E">
        <w:t xml:space="preserve"> </w:t>
      </w:r>
      <w:r w:rsidR="00894597">
        <w:t xml:space="preserve">nature </w:t>
      </w:r>
      <w:r w:rsidR="0092747E">
        <w:t>of these definitions among o</w:t>
      </w:r>
      <w:r w:rsidR="00C13D86">
        <w:t>ther areas that quite often</w:t>
      </w:r>
      <w:r w:rsidR="00894597">
        <w:t xml:space="preserve"> cross over into photographic practice</w:t>
      </w:r>
      <w:r w:rsidR="0092747E">
        <w:t>:</w:t>
      </w:r>
    </w:p>
    <w:p w14:paraId="5B8D6731" w14:textId="7D0D36BB" w:rsidR="00F46479" w:rsidRPr="00AE167A" w:rsidRDefault="00F46479" w:rsidP="00911EF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quote</w:t>
      </w:r>
      <w:r w:rsidRPr="00F55C11">
        <w:rPr>
          <w:color w:val="FF0000"/>
        </w:rPr>
        <w:t>)</w:t>
      </w:r>
    </w:p>
    <w:p w14:paraId="44D05AC7" w14:textId="378C0BBC" w:rsidR="00321C88" w:rsidRPr="00105C3B" w:rsidRDefault="0092747E" w:rsidP="00911EFA">
      <w:pPr>
        <w:spacing w:line="360" w:lineRule="auto"/>
        <w:jc w:val="both"/>
        <w:rPr>
          <w:i/>
        </w:rPr>
      </w:pPr>
      <w:r w:rsidRPr="00105C3B">
        <w:rPr>
          <w:i/>
        </w:rPr>
        <w:t>“</w:t>
      </w:r>
      <w:r w:rsidR="0054507D" w:rsidRPr="00105C3B">
        <w:rPr>
          <w:i/>
        </w:rPr>
        <w:t xml:space="preserve">like </w:t>
      </w:r>
      <w:r w:rsidRPr="00105C3B">
        <w:rPr>
          <w:i/>
        </w:rPr>
        <w:t xml:space="preserve">concepts such as ‘truth’ ‘beauty,’ or ‘justice,’ </w:t>
      </w:r>
      <w:r w:rsidR="00C83AB3" w:rsidRPr="00105C3B">
        <w:rPr>
          <w:i/>
        </w:rPr>
        <w:t>everyone knows the term rural, b</w:t>
      </w:r>
      <w:r w:rsidRPr="00105C3B">
        <w:rPr>
          <w:i/>
        </w:rPr>
        <w:t xml:space="preserve">ut no one can define the term very precisely” </w:t>
      </w:r>
      <w:sdt>
        <w:sdtPr>
          <w:rPr>
            <w:i/>
          </w:rPr>
          <w:id w:val="-146747979"/>
          <w:citation/>
        </w:sdtPr>
        <w:sdtEndPr/>
        <w:sdtContent>
          <w:r w:rsidRPr="00105C3B">
            <w:rPr>
              <w:i/>
            </w:rPr>
            <w:fldChar w:fldCharType="begin"/>
          </w:r>
          <w:r w:rsidRPr="00105C3B">
            <w:rPr>
              <w:i/>
            </w:rPr>
            <w:instrText xml:space="preserve">CITATION Wei95 \p 213 \l 2057 </w:instrText>
          </w:r>
          <w:r w:rsidRPr="00105C3B">
            <w:rPr>
              <w:i/>
            </w:rPr>
            <w:fldChar w:fldCharType="separate"/>
          </w:r>
          <w:r w:rsidRPr="00105C3B">
            <w:rPr>
              <w:i/>
              <w:noProof/>
            </w:rPr>
            <w:t>(Weisheit, et al., 1995, p. 213)</w:t>
          </w:r>
          <w:r w:rsidRPr="00105C3B">
            <w:rPr>
              <w:i/>
            </w:rPr>
            <w:fldChar w:fldCharType="end"/>
          </w:r>
        </w:sdtContent>
      </w:sdt>
      <w:r w:rsidR="00321C88" w:rsidRPr="00105C3B">
        <w:rPr>
          <w:i/>
        </w:rPr>
        <w:t xml:space="preserve"> </w:t>
      </w:r>
    </w:p>
    <w:p w14:paraId="71DFE931" w14:textId="30B3A1A4" w:rsidR="00F46479" w:rsidRPr="00AE167A" w:rsidRDefault="00F46479" w:rsidP="00911EF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proofErr w:type="spellStart"/>
      <w:r>
        <w:rPr>
          <w:color w:val="FF0000"/>
        </w:rPr>
        <w:t>Edgeland</w:t>
      </w:r>
      <w:proofErr w:type="spellEnd"/>
      <w:r>
        <w:rPr>
          <w:color w:val="FF0000"/>
        </w:rPr>
        <w:t xml:space="preserve"> - gate</w:t>
      </w:r>
      <w:r w:rsidRPr="00F55C11">
        <w:rPr>
          <w:color w:val="FF0000"/>
        </w:rPr>
        <w:t>)</w:t>
      </w:r>
    </w:p>
    <w:p w14:paraId="7B4090CA" w14:textId="5076AC9D" w:rsidR="00F46479" w:rsidRDefault="00B706F8" w:rsidP="00911EFA">
      <w:pPr>
        <w:spacing w:line="360" w:lineRule="auto"/>
        <w:jc w:val="both"/>
      </w:pPr>
      <w:r>
        <w:t xml:space="preserve">Marian </w:t>
      </w:r>
      <w:proofErr w:type="spellStart"/>
      <w:r>
        <w:t>Shoard</w:t>
      </w:r>
      <w:proofErr w:type="spellEnd"/>
      <w:r w:rsidR="00EB47F7">
        <w:t xml:space="preserve"> did however create a useful term to sum this up, even though ambiguity remains at its core:</w:t>
      </w:r>
      <w:r>
        <w:t xml:space="preserve"> ‘</w:t>
      </w:r>
      <w:proofErr w:type="spellStart"/>
      <w:r>
        <w:t>edgeland</w:t>
      </w:r>
      <w:r w:rsidR="00C13D86">
        <w:t>s</w:t>
      </w:r>
      <w:proofErr w:type="spellEnd"/>
      <w:r>
        <w:t>.’</w:t>
      </w:r>
      <w:r w:rsidR="00F07D9F">
        <w:t xml:space="preserve"> </w:t>
      </w:r>
      <w:sdt>
        <w:sdtPr>
          <w:id w:val="-376856197"/>
          <w:citation/>
        </w:sdtPr>
        <w:sdtEndPr/>
        <w:sdtContent>
          <w:r w:rsidR="00F07D9F">
            <w:fldChar w:fldCharType="begin"/>
          </w:r>
          <w:r w:rsidR="00F07D9F">
            <w:instrText xml:space="preserve"> CITATION Sho02 \l 2057 </w:instrText>
          </w:r>
          <w:r w:rsidR="00F07D9F">
            <w:fldChar w:fldCharType="separate"/>
          </w:r>
          <w:r w:rsidR="00F07D9F" w:rsidRPr="00F07D9F">
            <w:rPr>
              <w:noProof/>
            </w:rPr>
            <w:t>(Shoard, 2002)</w:t>
          </w:r>
          <w:r w:rsidR="00F07D9F">
            <w:fldChar w:fldCharType="end"/>
          </w:r>
        </w:sdtContent>
      </w:sdt>
      <w:r w:rsidR="00C13D86">
        <w:t xml:space="preserve"> -</w:t>
      </w:r>
      <w:r w:rsidR="00620687">
        <w:t xml:space="preserve"> </w:t>
      </w:r>
      <w:r w:rsidR="00F07D9F">
        <w:t>Those</w:t>
      </w:r>
      <w:r w:rsidR="00620687">
        <w:t xml:space="preserve"> liminal spaces</w:t>
      </w:r>
      <w:r w:rsidR="00C13D86">
        <w:t xml:space="preserve"> existing in the human settlement</w:t>
      </w:r>
      <w:r w:rsidR="00620687">
        <w:t xml:space="preserve"> that are not one thing or the other.</w:t>
      </w:r>
      <w:r>
        <w:t xml:space="preserve"> </w:t>
      </w:r>
      <w:r w:rsidR="00EB47F7">
        <w:t xml:space="preserve">From this I define </w:t>
      </w:r>
      <w:r>
        <w:t xml:space="preserve">Watford an </w:t>
      </w:r>
      <w:proofErr w:type="spellStart"/>
      <w:r w:rsidR="002F7339">
        <w:t>edgeland</w:t>
      </w:r>
      <w:proofErr w:type="spellEnd"/>
      <w:r w:rsidR="00530A6D">
        <w:t>.</w:t>
      </w:r>
      <w:r w:rsidR="00F07D9F">
        <w:t xml:space="preserve"> </w:t>
      </w:r>
      <w:r w:rsidR="00530A6D">
        <w:t>E</w:t>
      </w:r>
      <w:r w:rsidR="00B474FF">
        <w:t>ven before this pandemic, which created liminality for all of us, its position as a non-descript</w:t>
      </w:r>
      <w:r w:rsidR="00BD31FD">
        <w:t xml:space="preserve"> character-less</w:t>
      </w:r>
      <w:r w:rsidR="00B474FF">
        <w:t xml:space="preserve"> commuter town </w:t>
      </w:r>
      <w:r w:rsidR="006D305B">
        <w:t xml:space="preserve">has been the topic of disdain for writers including Nick Hornby’s ‘High Fidelity’ </w:t>
      </w:r>
      <w:r w:rsidR="0054507D">
        <w:t xml:space="preserve"> and political comedy ‘The Thick of it </w:t>
      </w:r>
      <w:r w:rsidR="006D305B">
        <w:t>wh</w:t>
      </w:r>
      <w:r w:rsidR="00BD31FD">
        <w:t>ere it was</w:t>
      </w:r>
      <w:r w:rsidR="00100D7C">
        <w:t xml:space="preserve"> </w:t>
      </w:r>
      <w:r w:rsidR="0054507D">
        <w:t>a place to avoid and considered</w:t>
      </w:r>
      <w:r w:rsidR="00BD31FD">
        <w:t xml:space="preserve"> </w:t>
      </w:r>
      <w:r w:rsidR="00100D7C">
        <w:t>bleak.</w:t>
      </w:r>
      <w:r w:rsidR="00BD31FD">
        <w:t xml:space="preserve"> </w:t>
      </w:r>
      <w:r w:rsidR="0054507D">
        <w:t>Both of these</w:t>
      </w:r>
      <w:r w:rsidR="00FA37DC">
        <w:t xml:space="preserve"> do not inspire reasons to reside here. W</w:t>
      </w:r>
      <w:r w:rsidR="006D305B">
        <w:t xml:space="preserve">hen Paul Farley and </w:t>
      </w:r>
      <w:r w:rsidR="00CD3937">
        <w:t>Michael</w:t>
      </w:r>
      <w:r w:rsidR="006D305B">
        <w:t xml:space="preserve"> </w:t>
      </w:r>
      <w:proofErr w:type="spellStart"/>
      <w:r w:rsidR="006D305B">
        <w:t>Symmonds</w:t>
      </w:r>
      <w:proofErr w:type="spellEnd"/>
      <w:r w:rsidR="006D305B">
        <w:t xml:space="preserve"> Roberts made their own observations on</w:t>
      </w:r>
      <w:r w:rsidR="00EB47F7">
        <w:t xml:space="preserve"> interpreting</w:t>
      </w:r>
      <w:r w:rsidR="006D305B">
        <w:t xml:space="preserve"> </w:t>
      </w:r>
      <w:proofErr w:type="spellStart"/>
      <w:r w:rsidR="006D305B">
        <w:t>edgelands</w:t>
      </w:r>
      <w:proofErr w:type="spellEnd"/>
      <w:r w:rsidR="00EB47F7">
        <w:t xml:space="preserve"> for the book of the same name</w:t>
      </w:r>
      <w:r w:rsidR="00BD31FD">
        <w:t>,</w:t>
      </w:r>
      <w:r w:rsidR="006D305B">
        <w:t xml:space="preserve"> they made special reference to the train line </w:t>
      </w:r>
      <w:r w:rsidR="00BD31FD">
        <w:t xml:space="preserve">that runs through the town </w:t>
      </w:r>
      <w:r w:rsidR="006D305B">
        <w:t>and</w:t>
      </w:r>
      <w:r w:rsidR="00BD31FD">
        <w:t xml:space="preserve"> also</w:t>
      </w:r>
      <w:r w:rsidR="006D305B">
        <w:t xml:space="preserve"> landmarks just outside the boundary of Watford but not</w:t>
      </w:r>
      <w:r w:rsidR="00BD31FD">
        <w:t xml:space="preserve"> really</w:t>
      </w:r>
      <w:r w:rsidR="006D305B">
        <w:t xml:space="preserve"> the town itself – Watford</w:t>
      </w:r>
      <w:r w:rsidR="00FA37DC">
        <w:t xml:space="preserve"> might</w:t>
      </w:r>
      <w:r w:rsidR="006D305B">
        <w:t xml:space="preserve"> </w:t>
      </w:r>
      <w:r w:rsidR="00FA37DC">
        <w:t>be</w:t>
      </w:r>
      <w:r w:rsidR="006D305B">
        <w:t xml:space="preserve"> too </w:t>
      </w:r>
      <w:proofErr w:type="spellStart"/>
      <w:r w:rsidR="006D305B">
        <w:t>edgelands</w:t>
      </w:r>
      <w:proofErr w:type="spellEnd"/>
      <w:r w:rsidR="006D305B">
        <w:t xml:space="preserve"> for </w:t>
      </w:r>
      <w:proofErr w:type="spellStart"/>
      <w:r w:rsidR="006D305B">
        <w:t>edgelands</w:t>
      </w:r>
      <w:proofErr w:type="spellEnd"/>
      <w:r w:rsidR="006D305B">
        <w:t>.</w:t>
      </w:r>
      <w:r w:rsidR="00BD31FD">
        <w:t xml:space="preserve"> But by their </w:t>
      </w:r>
      <w:r w:rsidR="00FA37DC">
        <w:t>own definition:</w:t>
      </w:r>
      <w:r w:rsidR="006D305B">
        <w:t xml:space="preserve"> </w:t>
      </w:r>
    </w:p>
    <w:p w14:paraId="11F1E208" w14:textId="00FD6DFC" w:rsidR="00F46479" w:rsidRPr="00AE167A" w:rsidRDefault="00F46479" w:rsidP="00911EF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quote</w:t>
      </w:r>
      <w:r w:rsidRPr="00F55C11">
        <w:rPr>
          <w:color w:val="FF0000"/>
        </w:rPr>
        <w:t>)</w:t>
      </w:r>
    </w:p>
    <w:p w14:paraId="42999597" w14:textId="047502ED" w:rsidR="00F46479" w:rsidRPr="00105C3B" w:rsidRDefault="00100D7C" w:rsidP="00911EFA">
      <w:pPr>
        <w:spacing w:line="360" w:lineRule="auto"/>
        <w:jc w:val="both"/>
        <w:rPr>
          <w:i/>
        </w:rPr>
      </w:pPr>
      <w:r w:rsidRPr="00105C3B">
        <w:rPr>
          <w:i/>
        </w:rPr>
        <w:t xml:space="preserve">“English towns and cities, where urban and rural negotiate and renegotiate their borders” </w:t>
      </w:r>
      <w:sdt>
        <w:sdtPr>
          <w:rPr>
            <w:i/>
          </w:rPr>
          <w:id w:val="1181238826"/>
          <w:citation/>
        </w:sdtPr>
        <w:sdtEndPr/>
        <w:sdtContent>
          <w:r w:rsidRPr="00105C3B">
            <w:rPr>
              <w:i/>
            </w:rPr>
            <w:fldChar w:fldCharType="begin"/>
          </w:r>
          <w:r w:rsidRPr="00105C3B">
            <w:rPr>
              <w:i/>
            </w:rPr>
            <w:instrText xml:space="preserve">CITATION Far11 \p 5 \l 2057 </w:instrText>
          </w:r>
          <w:r w:rsidRPr="00105C3B">
            <w:rPr>
              <w:i/>
            </w:rPr>
            <w:fldChar w:fldCharType="separate"/>
          </w:r>
          <w:r w:rsidRPr="00105C3B">
            <w:rPr>
              <w:i/>
              <w:noProof/>
            </w:rPr>
            <w:t>(Farley &amp; Symmonds Roberts, 2011, p. 5)</w:t>
          </w:r>
          <w:r w:rsidRPr="00105C3B">
            <w:rPr>
              <w:i/>
            </w:rPr>
            <w:fldChar w:fldCharType="end"/>
          </w:r>
        </w:sdtContent>
      </w:sdt>
      <w:r w:rsidR="00FA37DC" w:rsidRPr="00105C3B">
        <w:rPr>
          <w:i/>
        </w:rPr>
        <w:t xml:space="preserve">, </w:t>
      </w:r>
    </w:p>
    <w:p w14:paraId="17FDEF67" w14:textId="15BEDC95" w:rsidR="00F46479" w:rsidRPr="00AE167A" w:rsidRDefault="00F46479" w:rsidP="00911EF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sidR="00860942">
        <w:rPr>
          <w:color w:val="FF0000"/>
        </w:rPr>
        <w:t>buddleia</w:t>
      </w:r>
      <w:r>
        <w:rPr>
          <w:color w:val="FF0000"/>
        </w:rPr>
        <w:t xml:space="preserve"> pathway</w:t>
      </w:r>
      <w:r w:rsidRPr="00F55C11">
        <w:rPr>
          <w:color w:val="FF0000"/>
        </w:rPr>
        <w:t>)</w:t>
      </w:r>
    </w:p>
    <w:p w14:paraId="083757C4" w14:textId="6F7071F1" w:rsidR="00BD31FD" w:rsidRDefault="00F46479" w:rsidP="00911EFA">
      <w:pPr>
        <w:spacing w:line="360" w:lineRule="auto"/>
        <w:jc w:val="both"/>
      </w:pPr>
      <w:r>
        <w:lastRenderedPageBreak/>
        <w:t xml:space="preserve">In </w:t>
      </w:r>
      <w:r w:rsidR="00FA37DC">
        <w:t xml:space="preserve">which Watford spends much of its time arguing over – for many outside, it is effectively part of the city, and to those that live here it is defiantly not. Watford, of all the large towns is a place engulfed by its position next to the capital whose urban sprawl can’t identify itself as anything close to being rural. </w:t>
      </w:r>
    </w:p>
    <w:p w14:paraId="188659F8" w14:textId="157898C2" w:rsidR="00F46479" w:rsidRPr="00F55C11" w:rsidRDefault="00F46479" w:rsidP="00F46479">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sidR="000457B9">
        <w:rPr>
          <w:color w:val="FF0000"/>
        </w:rPr>
        <w:t>football pitch/ Harry</w:t>
      </w:r>
      <w:r w:rsidRPr="00F55C11">
        <w:rPr>
          <w:color w:val="FF0000"/>
        </w:rPr>
        <w:t>)</w:t>
      </w:r>
    </w:p>
    <w:p w14:paraId="47D02E20" w14:textId="77777777" w:rsidR="00F46479" w:rsidRDefault="00F46479" w:rsidP="00911EFA">
      <w:pPr>
        <w:spacing w:line="360" w:lineRule="auto"/>
        <w:jc w:val="both"/>
      </w:pPr>
    </w:p>
    <w:p w14:paraId="4E2EBB04" w14:textId="3EF0A10F" w:rsidR="00B706F8" w:rsidRDefault="00100D7C" w:rsidP="00911EFA">
      <w:pPr>
        <w:spacing w:line="360" w:lineRule="auto"/>
        <w:jc w:val="both"/>
      </w:pPr>
      <w:r>
        <w:t xml:space="preserve">If </w:t>
      </w:r>
      <w:proofErr w:type="spellStart"/>
      <w:r>
        <w:t>edgelands</w:t>
      </w:r>
      <w:proofErr w:type="spellEnd"/>
      <w:r>
        <w:t xml:space="preserve"> are always in flux then we can infer that </w:t>
      </w:r>
      <w:r w:rsidR="00F46479">
        <w:t xml:space="preserve">so too is </w:t>
      </w:r>
      <w:r>
        <w:t>the local community</w:t>
      </w:r>
      <w:r w:rsidR="00434679">
        <w:t>,</w:t>
      </w:r>
      <w:r w:rsidR="00F46479">
        <w:t xml:space="preserve"> continually</w:t>
      </w:r>
      <w:r w:rsidR="00B706F8">
        <w:t xml:space="preserve"> </w:t>
      </w:r>
      <w:r w:rsidR="002F7339">
        <w:t>evaluat</w:t>
      </w:r>
      <w:r w:rsidR="00F46479">
        <w:t>ing</w:t>
      </w:r>
      <w:r w:rsidR="002F7339">
        <w:t xml:space="preserve"> and re-evaluat</w:t>
      </w:r>
      <w:r w:rsidR="00F46479">
        <w:t>ing</w:t>
      </w:r>
      <w:r w:rsidR="002F7339">
        <w:t xml:space="preserve"> its sense of self </w:t>
      </w:r>
      <w:r w:rsidR="000457B9">
        <w:t>as the environment changes</w:t>
      </w:r>
      <w:r w:rsidR="00EB47F7">
        <w:t>. And this is</w:t>
      </w:r>
      <w:r w:rsidR="005F7BF3">
        <w:t xml:space="preserve"> especially</w:t>
      </w:r>
      <w:r w:rsidR="00EB47F7">
        <w:t xml:space="preserve"> true </w:t>
      </w:r>
      <w:r w:rsidR="005F7BF3">
        <w:t>in a place such as Watford, whose</w:t>
      </w:r>
      <w:r w:rsidR="001402AD">
        <w:t xml:space="preserve"> position as an </w:t>
      </w:r>
      <w:proofErr w:type="spellStart"/>
      <w:r w:rsidR="001402AD">
        <w:t>edgeland</w:t>
      </w:r>
      <w:proofErr w:type="spellEnd"/>
      <w:r w:rsidR="001402AD">
        <w:t xml:space="preserve"> is part of </w:t>
      </w:r>
      <w:r w:rsidR="005F7BF3">
        <w:t>its central identity.</w:t>
      </w:r>
      <w:r w:rsidR="00F46479">
        <w:t xml:space="preserve"> The</w:t>
      </w:r>
      <w:r w:rsidR="000457B9">
        <w:t xml:space="preserve"> impact of the</w:t>
      </w:r>
      <w:r w:rsidR="00F46479">
        <w:t xml:space="preserve"> community </w:t>
      </w:r>
      <w:r w:rsidR="000457B9">
        <w:t>changes the town and then changes the people</w:t>
      </w:r>
      <w:r w:rsidR="00434679">
        <w:t xml:space="preserve"> in turn.  A</w:t>
      </w:r>
      <w:r w:rsidR="000457B9">
        <w:t>nd a pandemic, albeit unexpected,</w:t>
      </w:r>
      <w:r w:rsidR="00434679">
        <w:t xml:space="preserve"> merely accelerates</w:t>
      </w:r>
      <w:r w:rsidR="000457B9">
        <w:t xml:space="preserve"> this process</w:t>
      </w:r>
      <w:r w:rsidR="00434679">
        <w:t>.</w:t>
      </w:r>
    </w:p>
    <w:p w14:paraId="71C966DC" w14:textId="65D3C21B" w:rsidR="00AF2274" w:rsidRDefault="00AF2274" w:rsidP="00911EFA">
      <w:pPr>
        <w:spacing w:line="360" w:lineRule="auto"/>
        <w:jc w:val="both"/>
        <w:rPr>
          <w:b/>
        </w:rPr>
      </w:pPr>
      <w:r w:rsidRPr="00AF2274">
        <w:rPr>
          <w:b/>
        </w:rPr>
        <w:t>Methodology/case selection</w:t>
      </w:r>
    </w:p>
    <w:p w14:paraId="07CA81AB" w14:textId="49CBBFD6" w:rsidR="00834BDF" w:rsidRPr="00AE167A" w:rsidRDefault="00834BDF" w:rsidP="00911EF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tree root</w:t>
      </w:r>
      <w:r w:rsidRPr="00F55C11">
        <w:rPr>
          <w:color w:val="FF0000"/>
        </w:rPr>
        <w:t>)</w:t>
      </w:r>
    </w:p>
    <w:p w14:paraId="567C0107" w14:textId="288B3FF9" w:rsidR="00D75219" w:rsidRDefault="00D75219" w:rsidP="00911EFA">
      <w:pPr>
        <w:spacing w:line="360" w:lineRule="auto"/>
        <w:jc w:val="both"/>
      </w:pPr>
      <w:r>
        <w:t>As photographer, I made a number of conscious choices in the way that I represented these ideas visually.</w:t>
      </w:r>
    </w:p>
    <w:p w14:paraId="4F4967E4" w14:textId="17B9CF8F" w:rsidR="00834BDF" w:rsidRPr="00F55C11" w:rsidRDefault="00834BDF" w:rsidP="00834BDF">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M25 Path</w:t>
      </w:r>
      <w:r w:rsidRPr="00F55C11">
        <w:rPr>
          <w:color w:val="FF0000"/>
        </w:rPr>
        <w:t>)</w:t>
      </w:r>
    </w:p>
    <w:p w14:paraId="4E236657" w14:textId="123FF9DF" w:rsidR="00834BDF" w:rsidRPr="00F55C11" w:rsidRDefault="00834BDF" w:rsidP="00834BDF">
      <w:pPr>
        <w:spacing w:line="360" w:lineRule="auto"/>
        <w:jc w:val="both"/>
        <w:rPr>
          <w:color w:val="FF0000"/>
        </w:rPr>
      </w:pPr>
      <w:r w:rsidRPr="00FB0B7B">
        <w:rPr>
          <w:b/>
          <w:color w:val="FF0000"/>
        </w:rPr>
        <w:t>Next Slide –</w:t>
      </w:r>
      <w:r w:rsidRPr="00F55C11">
        <w:rPr>
          <w:b/>
          <w:color w:val="FF0000"/>
        </w:rPr>
        <w:t xml:space="preserve"> </w:t>
      </w:r>
      <w:r>
        <w:rPr>
          <w:color w:val="FF0000"/>
        </w:rPr>
        <w:t>(Tesco-</w:t>
      </w:r>
      <w:proofErr w:type="spellStart"/>
      <w:r>
        <w:rPr>
          <w:color w:val="FF0000"/>
        </w:rPr>
        <w:t>Firestation</w:t>
      </w:r>
      <w:proofErr w:type="spellEnd"/>
      <w:r w:rsidRPr="00F55C11">
        <w:rPr>
          <w:color w:val="FF0000"/>
        </w:rPr>
        <w:t>)</w:t>
      </w:r>
    </w:p>
    <w:p w14:paraId="0121F506" w14:textId="56952DFB" w:rsidR="00834BDF" w:rsidRPr="00AE167A" w:rsidRDefault="00834BDF" w:rsidP="00911EF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swing and den</w:t>
      </w:r>
      <w:r w:rsidRPr="00F55C11">
        <w:rPr>
          <w:color w:val="FF0000"/>
        </w:rPr>
        <w:t>)</w:t>
      </w:r>
    </w:p>
    <w:p w14:paraId="6E40542A" w14:textId="3411D498" w:rsidR="00100D7C" w:rsidRDefault="00911EFA" w:rsidP="00911EFA">
      <w:pPr>
        <w:spacing w:line="360" w:lineRule="auto"/>
        <w:jc w:val="both"/>
      </w:pPr>
      <w:r>
        <w:t xml:space="preserve">There are </w:t>
      </w:r>
      <w:r w:rsidR="006A253A">
        <w:t>the</w:t>
      </w:r>
      <w:r>
        <w:t xml:space="preserve"> unique characteristics</w:t>
      </w:r>
      <w:r w:rsidR="00996A43">
        <w:t xml:space="preserve">, such as the environment, </w:t>
      </w:r>
      <w:r w:rsidR="00834BDF">
        <w:t>architecture</w:t>
      </w:r>
      <w:r w:rsidR="00996A43">
        <w:t xml:space="preserve"> and balance of green space</w:t>
      </w:r>
      <w:r>
        <w:t xml:space="preserve"> of the place to consider, which</w:t>
      </w:r>
      <w:r w:rsidR="006A253A">
        <w:t xml:space="preserve"> have an impact on the community</w:t>
      </w:r>
      <w:r>
        <w:t xml:space="preserve"> who inhabit it</w:t>
      </w:r>
      <w:r w:rsidR="00100D7C">
        <w:t>.</w:t>
      </w:r>
    </w:p>
    <w:p w14:paraId="2B159FF7" w14:textId="01A896DC" w:rsidR="00834BDF" w:rsidRPr="00AE167A" w:rsidRDefault="00834BDF" w:rsidP="00911EF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sidR="009D4CDB">
        <w:rPr>
          <w:color w:val="FF0000"/>
        </w:rPr>
        <w:t xml:space="preserve">Harmon </w:t>
      </w:r>
      <w:r>
        <w:rPr>
          <w:color w:val="FF0000"/>
        </w:rPr>
        <w:t>quote</w:t>
      </w:r>
      <w:r w:rsidRPr="00F55C11">
        <w:rPr>
          <w:color w:val="FF0000"/>
        </w:rPr>
        <w:t>)</w:t>
      </w:r>
    </w:p>
    <w:p w14:paraId="34E9BB4E" w14:textId="3BB015C4" w:rsidR="00100D7C" w:rsidRDefault="00ED1F8F" w:rsidP="00911EFA">
      <w:pPr>
        <w:spacing w:line="360" w:lineRule="auto"/>
        <w:jc w:val="both"/>
      </w:pPr>
      <w:r>
        <w:t>Graham Harmon suggests these qualities</w:t>
      </w:r>
      <w:r w:rsidR="00100D7C">
        <w:t xml:space="preserve"> are</w:t>
      </w:r>
      <w:r>
        <w:t xml:space="preserve"> part of</w:t>
      </w:r>
      <w:r w:rsidR="00911EFA">
        <w:t xml:space="preserve"> an object orientated ontology </w:t>
      </w:r>
      <w:sdt>
        <w:sdtPr>
          <w:id w:val="-824740165"/>
          <w:citation/>
        </w:sdtPr>
        <w:sdtEndPr/>
        <w:sdtContent>
          <w:r w:rsidR="00911EFA">
            <w:fldChar w:fldCharType="begin"/>
          </w:r>
          <w:r w:rsidR="00911EFA">
            <w:instrText xml:space="preserve">CITATION Har18 \n  \l 2057 </w:instrText>
          </w:r>
          <w:r w:rsidR="00911EFA">
            <w:fldChar w:fldCharType="separate"/>
          </w:r>
          <w:r w:rsidR="00911EFA" w:rsidRPr="008F0DC8">
            <w:rPr>
              <w:noProof/>
            </w:rPr>
            <w:t>(2018)</w:t>
          </w:r>
          <w:r w:rsidR="00911EFA">
            <w:fldChar w:fldCharType="end"/>
          </w:r>
        </w:sdtContent>
      </w:sdt>
      <w:r w:rsidR="00911EFA">
        <w:t xml:space="preserve">, </w:t>
      </w:r>
      <w:r>
        <w:t>referring to an</w:t>
      </w:r>
      <w:r w:rsidR="00911EFA">
        <w:t xml:space="preserve"> inanimate agency that influences human interpretation, as he notes: </w:t>
      </w:r>
      <w:r w:rsidR="00911EFA" w:rsidRPr="00323FFA">
        <w:rPr>
          <w:i/>
        </w:rPr>
        <w:t>“we abstract certain features from these objects, which exist in their full and unexhausted plenitude quite apart from all our theoretical, perceptual, or practical encounters with them”</w:t>
      </w:r>
      <w:r w:rsidR="00911EFA">
        <w:t xml:space="preserve"> </w:t>
      </w:r>
      <w:sdt>
        <w:sdtPr>
          <w:id w:val="-1180955527"/>
          <w:citation/>
        </w:sdtPr>
        <w:sdtEndPr/>
        <w:sdtContent>
          <w:r w:rsidR="00911EFA">
            <w:fldChar w:fldCharType="begin"/>
          </w:r>
          <w:r w:rsidR="00911EFA">
            <w:instrText xml:space="preserve">CITATION Har201 \p 18 \l 2057 </w:instrText>
          </w:r>
          <w:r w:rsidR="00911EFA">
            <w:fldChar w:fldCharType="separate"/>
          </w:r>
          <w:r w:rsidR="00911EFA" w:rsidRPr="008F0DC8">
            <w:rPr>
              <w:noProof/>
            </w:rPr>
            <w:t>(Harmon, 2020, p. 18)</w:t>
          </w:r>
          <w:r w:rsidR="00911EFA">
            <w:fldChar w:fldCharType="end"/>
          </w:r>
        </w:sdtContent>
      </w:sdt>
      <w:r w:rsidR="00100D7C">
        <w:t>.</w:t>
      </w:r>
    </w:p>
    <w:p w14:paraId="6D3FE19C" w14:textId="351D8826" w:rsidR="009D4CDB" w:rsidRPr="00AE167A" w:rsidRDefault="009D4CDB" w:rsidP="00911EF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sidR="00897C3B">
        <w:rPr>
          <w:color w:val="FF0000"/>
        </w:rPr>
        <w:t>bin bag</w:t>
      </w:r>
      <w:r w:rsidRPr="00F55C11">
        <w:rPr>
          <w:color w:val="FF0000"/>
        </w:rPr>
        <w:t>)</w:t>
      </w:r>
    </w:p>
    <w:p w14:paraId="309138A4" w14:textId="0B6B1D49" w:rsidR="00897C3B" w:rsidRDefault="001402AD" w:rsidP="00911EFA">
      <w:pPr>
        <w:spacing w:line="360" w:lineRule="auto"/>
        <w:jc w:val="both"/>
      </w:pPr>
      <w:r>
        <w:t>From this, it is important to understand the limitations that are created through personal</w:t>
      </w:r>
      <w:r w:rsidR="009D4CDB">
        <w:t xml:space="preserve"> bias</w:t>
      </w:r>
      <w:r>
        <w:t xml:space="preserve"> and also technological interpretation. </w:t>
      </w:r>
      <w:r w:rsidR="00911EFA">
        <w:t>Photographs are also</w:t>
      </w:r>
      <w:r w:rsidR="009D4CDB">
        <w:t xml:space="preserve"> </w:t>
      </w:r>
      <w:r w:rsidR="00911EFA">
        <w:t>objects</w:t>
      </w:r>
      <w:r w:rsidR="009D4CDB">
        <w:t xml:space="preserve"> with </w:t>
      </w:r>
      <w:r w:rsidR="00897C3B">
        <w:t xml:space="preserve">their own </w:t>
      </w:r>
      <w:r w:rsidR="009D4CDB">
        <w:t>agency, according to Harmon.</w:t>
      </w:r>
      <w:r w:rsidR="00100D7C">
        <w:t xml:space="preserve"> </w:t>
      </w:r>
      <w:r w:rsidR="009D4CDB">
        <w:t>They</w:t>
      </w:r>
      <w:r w:rsidR="00897C3B">
        <w:t xml:space="preserve"> also</w:t>
      </w:r>
      <w:r w:rsidR="00100D7C">
        <w:t xml:space="preserve"> abstract</w:t>
      </w:r>
      <w:r w:rsidR="00897C3B">
        <w:t xml:space="preserve"> from other objects</w:t>
      </w:r>
      <w:r w:rsidR="006E2CDF">
        <w:t xml:space="preserve"> by reducing reality into</w:t>
      </w:r>
      <w:r w:rsidR="00100D7C">
        <w:t xml:space="preserve"> </w:t>
      </w:r>
      <w:r w:rsidR="00A2695A">
        <w:t>two</w:t>
      </w:r>
      <w:r w:rsidR="00100D7C">
        <w:t xml:space="preserve"> dimensional surface</w:t>
      </w:r>
      <w:r>
        <w:t>s</w:t>
      </w:r>
      <w:r w:rsidR="00100D7C">
        <w:t xml:space="preserve"> and </w:t>
      </w:r>
      <w:r w:rsidR="00100D7C">
        <w:lastRenderedPageBreak/>
        <w:t>single truths – context and interpretation dependent. The process</w:t>
      </w:r>
      <w:r w:rsidR="00897C3B">
        <w:t xml:space="preserve"> of photographing</w:t>
      </w:r>
      <w:r w:rsidR="00100D7C">
        <w:t xml:space="preserve"> places limitations of not only time but also </w:t>
      </w:r>
      <w:r w:rsidR="00897C3B">
        <w:t>via</w:t>
      </w:r>
      <w:r w:rsidR="00100D7C">
        <w:t xml:space="preserve"> the chemical makeup of photographi</w:t>
      </w:r>
      <w:r w:rsidR="008E1725">
        <w:t>c emulsions or computer</w:t>
      </w:r>
      <w:r w:rsidR="00100D7C">
        <w:t xml:space="preserve"> programed methods of </w:t>
      </w:r>
      <w:r w:rsidR="008E1725">
        <w:t>interpreting light.</w:t>
      </w:r>
      <w:r w:rsidR="00A965B5">
        <w:t xml:space="preserve"> Neither can hope to fully realise the reality present but</w:t>
      </w:r>
      <w:r w:rsidR="00894597">
        <w:t xml:space="preserve"> can feed n</w:t>
      </w:r>
      <w:r w:rsidR="003D1FF3">
        <w:t>ostalgia by editing</w:t>
      </w:r>
      <w:r w:rsidR="00911EFA">
        <w:t xml:space="preserve"> the experience of a place or time</w:t>
      </w:r>
      <w:r w:rsidR="00A965B5">
        <w:t xml:space="preserve"> further</w:t>
      </w:r>
      <w:r w:rsidR="00894597">
        <w:t xml:space="preserve"> into its idealised elements</w:t>
      </w:r>
      <w:r w:rsidR="00897C3B">
        <w:t>.</w:t>
      </w:r>
    </w:p>
    <w:p w14:paraId="266977CA" w14:textId="77777777" w:rsidR="005C4560" w:rsidRDefault="00897C3B" w:rsidP="006A253A">
      <w:pPr>
        <w:spacing w:line="360" w:lineRule="auto"/>
        <w:jc w:val="both"/>
        <w:rPr>
          <w:color w:val="FF0000"/>
        </w:rPr>
      </w:pPr>
      <w:r w:rsidRPr="00897C3B">
        <w:rPr>
          <w:b/>
          <w:color w:val="FF0000"/>
        </w:rPr>
        <w:t xml:space="preserve"> </w:t>
      </w:r>
      <w:r w:rsidRPr="00FB0B7B">
        <w:rPr>
          <w:b/>
          <w:color w:val="FF0000"/>
        </w:rPr>
        <w:t>Next Slide –</w:t>
      </w:r>
      <w:r w:rsidRPr="00F55C11">
        <w:rPr>
          <w:b/>
          <w:color w:val="FF0000"/>
        </w:rPr>
        <w:t xml:space="preserve"> </w:t>
      </w:r>
      <w:r w:rsidRPr="00F55C11">
        <w:rPr>
          <w:color w:val="FF0000"/>
        </w:rPr>
        <w:t>(</w:t>
      </w:r>
      <w:proofErr w:type="spellStart"/>
      <w:r w:rsidR="006E4BB7">
        <w:rPr>
          <w:color w:val="FF0000"/>
        </w:rPr>
        <w:t>Campany</w:t>
      </w:r>
      <w:proofErr w:type="spellEnd"/>
      <w:r w:rsidR="006E4BB7">
        <w:rPr>
          <w:color w:val="FF0000"/>
        </w:rPr>
        <w:t xml:space="preserve"> quote</w:t>
      </w:r>
      <w:r w:rsidRPr="00F55C11">
        <w:rPr>
          <w:color w:val="FF0000"/>
        </w:rPr>
        <w:t>)</w:t>
      </w:r>
    </w:p>
    <w:p w14:paraId="36A509AD" w14:textId="43FEF0D2" w:rsidR="006A253A" w:rsidRDefault="006A253A" w:rsidP="006A253A">
      <w:pPr>
        <w:spacing w:line="360" w:lineRule="auto"/>
        <w:jc w:val="both"/>
      </w:pPr>
      <w:r>
        <w:t xml:space="preserve">As David </w:t>
      </w:r>
      <w:proofErr w:type="spellStart"/>
      <w:r>
        <w:t>Campany</w:t>
      </w:r>
      <w:proofErr w:type="spellEnd"/>
      <w:r>
        <w:t xml:space="preserve"> reminds us: </w:t>
      </w:r>
      <w:r w:rsidRPr="0051795E">
        <w:rPr>
          <w:i/>
        </w:rPr>
        <w:t>“The time and appearance of the photograph is inseparable from the time and appearance of the world yet they are clearly not the same”</w:t>
      </w:r>
      <w:r>
        <w:t xml:space="preserve">  </w:t>
      </w:r>
      <w:sdt>
        <w:sdtPr>
          <w:id w:val="-1044828295"/>
          <w:citation/>
        </w:sdtPr>
        <w:sdtEndPr/>
        <w:sdtContent>
          <w:r>
            <w:fldChar w:fldCharType="begin"/>
          </w:r>
          <w:r>
            <w:instrText xml:space="preserve">CITATION Cam201 \p 52 \l 2057 </w:instrText>
          </w:r>
          <w:r>
            <w:fldChar w:fldCharType="separate"/>
          </w:r>
          <w:r w:rsidRPr="008F0DC8">
            <w:rPr>
              <w:noProof/>
            </w:rPr>
            <w:t>(Campany, 2020, p. 52)</w:t>
          </w:r>
          <w:r>
            <w:fldChar w:fldCharType="end"/>
          </w:r>
        </w:sdtContent>
      </w:sdt>
      <w:r>
        <w:t>.</w:t>
      </w:r>
    </w:p>
    <w:p w14:paraId="74710624" w14:textId="73DEFB18" w:rsidR="00894597" w:rsidRDefault="00ED1F8F" w:rsidP="006A253A">
      <w:pPr>
        <w:spacing w:line="480" w:lineRule="auto"/>
        <w:jc w:val="both"/>
      </w:pPr>
      <w:r>
        <w:t xml:space="preserve">To push this idea as a way of showing my community as subjective and idealised, </w:t>
      </w:r>
      <w:r w:rsidR="006A253A">
        <w:t xml:space="preserve">I made use </w:t>
      </w:r>
      <w:r w:rsidR="00A2695A">
        <w:t xml:space="preserve">of </w:t>
      </w:r>
      <w:r w:rsidR="006A253A">
        <w:t>black and white analogue photographic processes</w:t>
      </w:r>
      <w:r w:rsidR="00894597">
        <w:t xml:space="preserve"> that by their nature abstract the world as we anthropocentrically perceive it in colou</w:t>
      </w:r>
      <w:r w:rsidR="00996A43">
        <w:t>r.</w:t>
      </w:r>
      <w:r w:rsidR="00894597">
        <w:t xml:space="preserve"> </w:t>
      </w:r>
      <w:r w:rsidR="006A253A">
        <w:t xml:space="preserve"> </w:t>
      </w:r>
    </w:p>
    <w:p w14:paraId="4C924F04" w14:textId="67838B9E" w:rsidR="006E4BB7" w:rsidRDefault="006E4BB7" w:rsidP="00AE167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Migrant Mother</w:t>
      </w:r>
      <w:r w:rsidRPr="00F55C11">
        <w:rPr>
          <w:color w:val="FF0000"/>
        </w:rPr>
        <w:t>)</w:t>
      </w:r>
    </w:p>
    <w:p w14:paraId="7FCCFB7B" w14:textId="69F2C636" w:rsidR="006E4BB7" w:rsidRPr="00F55C11" w:rsidRDefault="006E4BB7" w:rsidP="006E4BB7">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Migrant Mother - thumb</w:t>
      </w:r>
      <w:r w:rsidRPr="00F55C11">
        <w:rPr>
          <w:color w:val="FF0000"/>
        </w:rPr>
        <w:t>)</w:t>
      </w:r>
    </w:p>
    <w:p w14:paraId="3C901D9E" w14:textId="77777777" w:rsidR="006E4BB7" w:rsidRPr="00AE167A" w:rsidRDefault="006E4BB7" w:rsidP="00AE167A">
      <w:pPr>
        <w:spacing w:line="360" w:lineRule="auto"/>
        <w:jc w:val="both"/>
        <w:rPr>
          <w:color w:val="FF0000"/>
        </w:rPr>
      </w:pPr>
    </w:p>
    <w:p w14:paraId="4B5E3D03" w14:textId="1C992C43" w:rsidR="006E4BB7" w:rsidRPr="00F07D9F" w:rsidRDefault="00894597" w:rsidP="00F07D9F">
      <w:pPr>
        <w:spacing w:line="480" w:lineRule="auto"/>
        <w:jc w:val="both"/>
      </w:pPr>
      <w:r>
        <w:t xml:space="preserve">B&amp;W </w:t>
      </w:r>
      <w:r w:rsidR="006A253A">
        <w:t>specifically</w:t>
      </w:r>
      <w:r w:rsidR="00A965B5">
        <w:t xml:space="preserve"> and uniquely</w:t>
      </w:r>
      <w:r w:rsidR="006A253A">
        <w:t xml:space="preserve"> presents this</w:t>
      </w:r>
      <w:r w:rsidR="005B0D7A">
        <w:t xml:space="preserve"> as a</w:t>
      </w:r>
      <w:r w:rsidR="00A66A2B">
        <w:t xml:space="preserve"> form of </w:t>
      </w:r>
      <w:r w:rsidR="002C3E18">
        <w:t xml:space="preserve">hauntological </w:t>
      </w:r>
      <w:r w:rsidR="00A66A2B">
        <w:t>nostalgia in the way that it</w:t>
      </w:r>
      <w:r w:rsidR="006A253A">
        <w:t xml:space="preserve"> refere</w:t>
      </w:r>
      <w:r w:rsidR="00A66A2B">
        <w:t>nces a</w:t>
      </w:r>
      <w:r w:rsidR="006A253A">
        <w:t xml:space="preserve"> collective knowledge built on the canons of photography, such as the F</w:t>
      </w:r>
      <w:r w:rsidR="00A66A2B">
        <w:t xml:space="preserve">arm </w:t>
      </w:r>
      <w:r w:rsidR="006A253A">
        <w:t>S</w:t>
      </w:r>
      <w:r w:rsidR="00A66A2B">
        <w:t xml:space="preserve">ecurity </w:t>
      </w:r>
      <w:r w:rsidR="006A253A">
        <w:t>A</w:t>
      </w:r>
      <w:r w:rsidR="00A66A2B">
        <w:t>dministration</w:t>
      </w:r>
      <w:r w:rsidR="006A253A">
        <w:t xml:space="preserve"> affiliates: </w:t>
      </w:r>
      <w:r w:rsidR="00A66A2B">
        <w:t xml:space="preserve">Dorothea Lange </w:t>
      </w:r>
      <w:r w:rsidR="006A253A">
        <w:t>and Walker Evans’ Documentary aesthetic.</w:t>
      </w:r>
      <w:r w:rsidR="00A66A2B">
        <w:t xml:space="preserve"> Lange</w:t>
      </w:r>
      <w:r w:rsidR="00ED1F8F">
        <w:t>’s images in particular have</w:t>
      </w:r>
      <w:r w:rsidR="00A965B5">
        <w:t xml:space="preserve"> frequently been used as an</w:t>
      </w:r>
      <w:r w:rsidR="00A66A2B">
        <w:t xml:space="preserve"> example of</w:t>
      </w:r>
      <w:r w:rsidR="002D6F5B">
        <w:t xml:space="preserve"> the</w:t>
      </w:r>
      <w:r w:rsidR="00A66A2B">
        <w:t xml:space="preserve"> ‘quintessential</w:t>
      </w:r>
      <w:r w:rsidR="002D6F5B">
        <w:t xml:space="preserve"> documentary photograph</w:t>
      </w:r>
      <w:r w:rsidR="00A66A2B">
        <w:t>’</w:t>
      </w:r>
      <w:r w:rsidR="00CD3937">
        <w:t xml:space="preserve"> as argued by Sally Stein</w:t>
      </w:r>
      <w:r w:rsidR="00ED1F8F">
        <w:t xml:space="preserve"> </w:t>
      </w:r>
      <w:sdt>
        <w:sdtPr>
          <w:id w:val="-886946926"/>
          <w:citation/>
        </w:sdtPr>
        <w:sdtEndPr/>
        <w:sdtContent>
          <w:r w:rsidR="00ED1F8F">
            <w:fldChar w:fldCharType="begin"/>
          </w:r>
          <w:r w:rsidR="00ED1F8F">
            <w:instrText xml:space="preserve">CITATION Ste20 \p 59 \l 2057 </w:instrText>
          </w:r>
          <w:r w:rsidR="00ED1F8F">
            <w:fldChar w:fldCharType="separate"/>
          </w:r>
          <w:r w:rsidR="00ED1F8F" w:rsidRPr="00ED1F8F">
            <w:rPr>
              <w:noProof/>
            </w:rPr>
            <w:t>(Stein, 2020, p. 59)</w:t>
          </w:r>
          <w:r w:rsidR="00ED1F8F">
            <w:fldChar w:fldCharType="end"/>
          </w:r>
        </w:sdtContent>
      </w:sdt>
      <w:r w:rsidR="00A965B5">
        <w:t xml:space="preserve"> despite later acknowledgements of their contrived elements</w:t>
      </w:r>
      <w:r w:rsidR="00F40E9D">
        <w:t xml:space="preserve"> and</w:t>
      </w:r>
      <w:r w:rsidR="006E4BB7">
        <w:t xml:space="preserve"> high</w:t>
      </w:r>
      <w:r w:rsidR="00F40E9D">
        <w:t xml:space="preserve"> levels of editorial control by FSA information head Roy Stryker</w:t>
      </w:r>
      <w:r w:rsidR="00A965B5">
        <w:t>.</w:t>
      </w:r>
      <w:r w:rsidR="00ED1F8F">
        <w:t xml:space="preserve"> T</w:t>
      </w:r>
      <w:r w:rsidR="00A66A2B">
        <w:t>hese</w:t>
      </w:r>
      <w:r w:rsidR="00ED1F8F">
        <w:t xml:space="preserve"> images constructed an</w:t>
      </w:r>
      <w:r w:rsidR="006A253A">
        <w:t xml:space="preserve"> idealistic romanticised world</w:t>
      </w:r>
      <w:r w:rsidR="00373E8E">
        <w:t xml:space="preserve"> that</w:t>
      </w:r>
      <w:r w:rsidR="006A253A">
        <w:t xml:space="preserve"> may never have existed</w:t>
      </w:r>
      <w:r w:rsidR="00AD0C6B">
        <w:t xml:space="preserve"> but one that that is frequently referred to </w:t>
      </w:r>
      <w:r w:rsidR="002D6F5B">
        <w:t>through tropes of photography</w:t>
      </w:r>
      <w:r w:rsidR="00602FB6">
        <w:t xml:space="preserve">. </w:t>
      </w:r>
    </w:p>
    <w:p w14:paraId="7A840C59" w14:textId="2B0660A0" w:rsidR="006E4BB7" w:rsidRPr="00AE167A" w:rsidRDefault="006E4BB7" w:rsidP="00AE167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Mark</w:t>
      </w:r>
      <w:r w:rsidRPr="00F55C11">
        <w:rPr>
          <w:color w:val="FF0000"/>
        </w:rPr>
        <w:t>)</w:t>
      </w:r>
    </w:p>
    <w:p w14:paraId="3E4051EA" w14:textId="36BA42E4" w:rsidR="006E4BB7" w:rsidRDefault="00602FB6" w:rsidP="00AD0C6B">
      <w:pPr>
        <w:spacing w:line="480" w:lineRule="auto"/>
        <w:jc w:val="both"/>
      </w:pPr>
      <w:r>
        <w:t>When looking at black and white photographs</w:t>
      </w:r>
      <w:r w:rsidR="00A2695A">
        <w:t>,</w:t>
      </w:r>
      <w:r>
        <w:t xml:space="preserve"> there is an immediate link to the photographic nature of the work</w:t>
      </w:r>
      <w:r w:rsidR="00A2695A">
        <w:t>;</w:t>
      </w:r>
      <w:r>
        <w:t xml:space="preserve"> it creates a nostalgia us</w:t>
      </w:r>
      <w:r w:rsidR="00F637DF">
        <w:t>ually associated with the past and is a construction</w:t>
      </w:r>
      <w:r w:rsidR="001402AD">
        <w:t>,</w:t>
      </w:r>
      <w:r w:rsidR="00F637DF">
        <w:t xml:space="preserve"> but this does not mean that the photograph can’t be a way of learning about community</w:t>
      </w:r>
    </w:p>
    <w:p w14:paraId="1C8DB4DE" w14:textId="26AADA3D" w:rsidR="006E4BB7" w:rsidRPr="00AE167A" w:rsidRDefault="006E4BB7" w:rsidP="00AE167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sidR="00655B89">
        <w:rPr>
          <w:color w:val="FF0000"/>
        </w:rPr>
        <w:t>tree heart/help me</w:t>
      </w:r>
      <w:r w:rsidRPr="00F55C11">
        <w:rPr>
          <w:color w:val="FF0000"/>
        </w:rPr>
        <w:t>)</w:t>
      </w:r>
    </w:p>
    <w:p w14:paraId="0B24E3A6" w14:textId="6EACEAA0" w:rsidR="006E4BB7" w:rsidRDefault="00996A43" w:rsidP="00AD0C6B">
      <w:pPr>
        <w:spacing w:line="480" w:lineRule="auto"/>
        <w:jc w:val="both"/>
      </w:pPr>
      <w:r>
        <w:lastRenderedPageBreak/>
        <w:t xml:space="preserve"> When used overtly, this can point out where it has also been used previously to the reader, leading to a re-evaluation and deconstruction</w:t>
      </w:r>
      <w:r w:rsidR="00CB3C66">
        <w:t xml:space="preserve"> of their</w:t>
      </w:r>
      <w:r>
        <w:t xml:space="preserve"> built up world.</w:t>
      </w:r>
      <w:r w:rsidR="00CB3C66">
        <w:t xml:space="preserve"> Photography is a pictorial format that represents through compositional editing and selection. What is important is intent, and a transparency of </w:t>
      </w:r>
      <w:r w:rsidR="00C95322">
        <w:t xml:space="preserve">representational values matching the outcome. As </w:t>
      </w:r>
      <w:r w:rsidR="00373E8E">
        <w:t>Kendall L. Walton</w:t>
      </w:r>
      <w:r w:rsidR="00C95322">
        <w:t xml:space="preserve"> reminds us: </w:t>
      </w:r>
      <w:r w:rsidR="00C95322" w:rsidRPr="005B0D7A">
        <w:rPr>
          <w:i/>
        </w:rPr>
        <w:t xml:space="preserve">“Representation without matching, is simply misrepresentation” </w:t>
      </w:r>
      <w:sdt>
        <w:sdtPr>
          <w:rPr>
            <w:i/>
          </w:rPr>
          <w:id w:val="112174704"/>
          <w:citation/>
        </w:sdtPr>
        <w:sdtEndPr/>
        <w:sdtContent>
          <w:r w:rsidR="00C95322" w:rsidRPr="005B0D7A">
            <w:rPr>
              <w:i/>
            </w:rPr>
            <w:fldChar w:fldCharType="begin"/>
          </w:r>
          <w:r w:rsidR="00373E8E" w:rsidRPr="005B0D7A">
            <w:rPr>
              <w:i/>
            </w:rPr>
            <w:instrText xml:space="preserve">CITATION Wal04 \p 350 \l 2057 </w:instrText>
          </w:r>
          <w:r w:rsidR="00C95322" w:rsidRPr="005B0D7A">
            <w:rPr>
              <w:i/>
            </w:rPr>
            <w:fldChar w:fldCharType="separate"/>
          </w:r>
          <w:r w:rsidR="00373E8E" w:rsidRPr="005B0D7A">
            <w:rPr>
              <w:i/>
              <w:noProof/>
            </w:rPr>
            <w:t>(Walton, 2004, p. 350)</w:t>
          </w:r>
          <w:r w:rsidR="00C95322" w:rsidRPr="005B0D7A">
            <w:rPr>
              <w:i/>
            </w:rPr>
            <w:fldChar w:fldCharType="end"/>
          </w:r>
        </w:sdtContent>
      </w:sdt>
    </w:p>
    <w:p w14:paraId="7AB20012" w14:textId="2F592EA3" w:rsidR="006E4BB7" w:rsidRDefault="00655B89" w:rsidP="00AE167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Mazhar</w:t>
      </w:r>
      <w:r w:rsidRPr="00F55C11">
        <w:rPr>
          <w:color w:val="FF0000"/>
        </w:rPr>
        <w:t>)</w:t>
      </w:r>
    </w:p>
    <w:p w14:paraId="0B5EEA2D" w14:textId="1772AA36" w:rsidR="00E4591E" w:rsidRPr="00AE167A" w:rsidRDefault="00E4591E" w:rsidP="00AE167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Madonna</w:t>
      </w:r>
      <w:r w:rsidRPr="00F55C11">
        <w:rPr>
          <w:color w:val="FF0000"/>
        </w:rPr>
        <w:t>)</w:t>
      </w:r>
    </w:p>
    <w:p w14:paraId="55408886" w14:textId="236C2108" w:rsidR="00CB3C66" w:rsidRDefault="00911EFA" w:rsidP="00911EFA">
      <w:pPr>
        <w:spacing w:line="360" w:lineRule="auto"/>
        <w:jc w:val="both"/>
      </w:pPr>
      <w:r>
        <w:t>With</w:t>
      </w:r>
      <w:r w:rsidR="006A253A">
        <w:t xml:space="preserve"> this in mind, </w:t>
      </w:r>
      <w:r w:rsidR="00342E7B">
        <w:t>my images are</w:t>
      </w:r>
      <w:r w:rsidR="00D71362">
        <w:t xml:space="preserve"> a</w:t>
      </w:r>
      <w:r w:rsidR="00342E7B">
        <w:t xml:space="preserve"> formalised gaze of portraits and landscapes in black and white to encourage a </w:t>
      </w:r>
      <w:r w:rsidR="003E235F">
        <w:t>prolonged</w:t>
      </w:r>
      <w:r w:rsidR="00342E7B">
        <w:t xml:space="preserve"> reading of the image. </w:t>
      </w:r>
      <w:r w:rsidR="00CB3C66">
        <w:t xml:space="preserve">This is to </w:t>
      </w:r>
      <w:r w:rsidR="00B3202F">
        <w:t>present</w:t>
      </w:r>
      <w:r w:rsidR="00373E8E">
        <w:t xml:space="preserve"> the characters from my local community as heroic, much like how Florence Owens Thompson, the subject of Lange’s Migrant Mother image, has been likened to the Madonna and Child. </w:t>
      </w:r>
    </w:p>
    <w:p w14:paraId="72A4F136" w14:textId="444347E6" w:rsidR="00E4591E" w:rsidRPr="00AE167A" w:rsidRDefault="00E4591E" w:rsidP="00911EF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Narrative structure</w:t>
      </w:r>
      <w:r w:rsidRPr="00F55C11">
        <w:rPr>
          <w:color w:val="FF0000"/>
        </w:rPr>
        <w:t>)</w:t>
      </w:r>
    </w:p>
    <w:p w14:paraId="4E0049D4" w14:textId="2A446571" w:rsidR="00FE6F05" w:rsidRDefault="006A253A" w:rsidP="00373E8E">
      <w:pPr>
        <w:spacing w:line="360" w:lineRule="auto"/>
        <w:jc w:val="both"/>
      </w:pPr>
      <w:r>
        <w:t>I then</w:t>
      </w:r>
      <w:r w:rsidR="00911EFA">
        <w:t xml:space="preserve"> structured my narrative inspired by the Robert Frost Poem ‘Desert Places’</w:t>
      </w:r>
      <w:r w:rsidR="00A02FD1">
        <w:t xml:space="preserve"> </w:t>
      </w:r>
      <w:sdt>
        <w:sdtPr>
          <w:id w:val="1683701502"/>
          <w:citation/>
        </w:sdtPr>
        <w:sdtEndPr/>
        <w:sdtContent>
          <w:r w:rsidR="00A02FD1">
            <w:fldChar w:fldCharType="begin"/>
          </w:r>
          <w:r w:rsidR="00A02FD1">
            <w:instrText xml:space="preserve"> CITATION Fro36 \l 2057 </w:instrText>
          </w:r>
          <w:r w:rsidR="00A02FD1">
            <w:fldChar w:fldCharType="separate"/>
          </w:r>
          <w:r w:rsidR="00A02FD1" w:rsidRPr="00A02FD1">
            <w:rPr>
              <w:noProof/>
            </w:rPr>
            <w:t>(Frost, 1936)</w:t>
          </w:r>
          <w:r w:rsidR="00A02FD1">
            <w:fldChar w:fldCharType="end"/>
          </w:r>
        </w:sdtContent>
      </w:sdt>
      <w:r w:rsidR="001402AD">
        <w:t xml:space="preserve"> taking a line from this poem</w:t>
      </w:r>
      <w:r>
        <w:t xml:space="preserve"> for the title of the work. ‘More Lonely Ere’ </w:t>
      </w:r>
      <w:r w:rsidR="00A2695A">
        <w:t>is</w:t>
      </w:r>
      <w:r>
        <w:t xml:space="preserve"> a</w:t>
      </w:r>
      <w:r w:rsidR="00A2695A">
        <w:t>n</w:t>
      </w:r>
      <w:r>
        <w:t xml:space="preserve"> antiquated way of stating you are more lonely before – effectively </w:t>
      </w:r>
      <w:r w:rsidR="00AD0C6B">
        <w:t>becoming less so the more</w:t>
      </w:r>
      <w:r>
        <w:t xml:space="preserve"> learned about the place, the people and community.</w:t>
      </w:r>
      <w:r w:rsidR="00373E8E">
        <w:t xml:space="preserve"> I made a sequence of the work using Joseph </w:t>
      </w:r>
      <w:proofErr w:type="gramStart"/>
      <w:r w:rsidR="00373E8E">
        <w:t>Campbell’s  journey</w:t>
      </w:r>
      <w:proofErr w:type="gramEnd"/>
      <w:r w:rsidR="00373E8E">
        <w:t xml:space="preserve"> narrative structure</w:t>
      </w:r>
      <w:r w:rsidR="00F07D9F">
        <w:t xml:space="preserve"> </w:t>
      </w:r>
      <w:sdt>
        <w:sdtPr>
          <w:id w:val="-1796292277"/>
          <w:citation/>
        </w:sdtPr>
        <w:sdtEndPr/>
        <w:sdtContent>
          <w:r w:rsidR="00F07D9F">
            <w:fldChar w:fldCharType="begin"/>
          </w:r>
          <w:r w:rsidR="00F07D9F">
            <w:instrText xml:space="preserve"> CITATION Cam49 \l 2057 </w:instrText>
          </w:r>
          <w:r w:rsidR="00F07D9F">
            <w:fldChar w:fldCharType="separate"/>
          </w:r>
          <w:r w:rsidR="00F07D9F" w:rsidRPr="00F07D9F">
            <w:rPr>
              <w:noProof/>
            </w:rPr>
            <w:t>(Campbell, 1949)</w:t>
          </w:r>
          <w:r w:rsidR="00F07D9F">
            <w:fldChar w:fldCharType="end"/>
          </w:r>
        </w:sdtContent>
      </w:sdt>
      <w:r w:rsidR="00373E8E">
        <w:t xml:space="preserve">, rarely seen in a work of photography, as a way of denoting this representation through symbol and mythology, just as the FSA photographers constructed part of the American myth </w:t>
      </w:r>
      <w:r w:rsidR="00105C3B">
        <w:t>visually</w:t>
      </w:r>
      <w:r w:rsidR="00373E8E">
        <w:t>, and Frost through his words.  My sequence creates a visual representation of</w:t>
      </w:r>
      <w:r w:rsidR="006A14B5">
        <w:t xml:space="preserve"> the community</w:t>
      </w:r>
      <w:r w:rsidR="00373E8E">
        <w:t xml:space="preserve"> having to re-discover itself </w:t>
      </w:r>
      <w:r w:rsidR="006A14B5">
        <w:t>through the</w:t>
      </w:r>
      <w:r w:rsidR="00373E8E">
        <w:t xml:space="preserve"> local places it is limited to. This idea of local discovery became very important to show how a community can evolve. </w:t>
      </w:r>
    </w:p>
    <w:p w14:paraId="2B97BFFD" w14:textId="1BFDD30C" w:rsidR="00FE6F05" w:rsidRDefault="00FE6F05" w:rsidP="00FE6F05">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Car lot</w:t>
      </w:r>
      <w:r w:rsidRPr="00F55C11">
        <w:rPr>
          <w:color w:val="FF0000"/>
        </w:rPr>
        <w:t>)</w:t>
      </w:r>
    </w:p>
    <w:p w14:paraId="63BB61A2" w14:textId="0C1C4DB9" w:rsidR="00FE6F05" w:rsidRDefault="00FE6F05" w:rsidP="00FE6F05">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woods</w:t>
      </w:r>
      <w:r w:rsidRPr="00F55C11">
        <w:rPr>
          <w:color w:val="FF0000"/>
        </w:rPr>
        <w:t>)</w:t>
      </w:r>
    </w:p>
    <w:p w14:paraId="55D83AC0" w14:textId="547EBAC1" w:rsidR="002C3E18" w:rsidRDefault="002C3E18" w:rsidP="002C3E18">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Fields</w:t>
      </w:r>
      <w:r w:rsidRPr="00F55C11">
        <w:rPr>
          <w:color w:val="FF0000"/>
        </w:rPr>
        <w:t>)</w:t>
      </w:r>
    </w:p>
    <w:p w14:paraId="34DE7917" w14:textId="77777777" w:rsidR="002C3E18" w:rsidRDefault="002C3E18" w:rsidP="00FE6F05">
      <w:pPr>
        <w:spacing w:line="360" w:lineRule="auto"/>
        <w:jc w:val="both"/>
        <w:rPr>
          <w:color w:val="FF0000"/>
        </w:rPr>
      </w:pPr>
    </w:p>
    <w:p w14:paraId="088D30DA" w14:textId="4DF2CA6A" w:rsidR="00FE6F05" w:rsidRPr="00AE167A" w:rsidRDefault="00FE6F05" w:rsidP="00373E8E">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Louise</w:t>
      </w:r>
      <w:r w:rsidR="002C3E18">
        <w:rPr>
          <w:color w:val="FF0000"/>
        </w:rPr>
        <w:t>/Home</w:t>
      </w:r>
      <w:r w:rsidRPr="00F55C11">
        <w:rPr>
          <w:color w:val="FF0000"/>
        </w:rPr>
        <w:t>)</w:t>
      </w:r>
    </w:p>
    <w:p w14:paraId="79E84139" w14:textId="0BF29D9A" w:rsidR="00661D9A" w:rsidRDefault="00661D9A" w:rsidP="00661D9A">
      <w:pPr>
        <w:spacing w:line="360" w:lineRule="auto"/>
        <w:jc w:val="both"/>
      </w:pPr>
      <w:r>
        <w:t xml:space="preserve">There are useful metaphors in Frost’s imagery that connect to the way that I have been considering community and connection in the landscape, as outlined by Li Wang’s study of Frost’s poem: There is </w:t>
      </w:r>
      <w:r>
        <w:lastRenderedPageBreak/>
        <w:t xml:space="preserve">the moral and spiritual wilderness in Desert Places represented by the </w:t>
      </w:r>
      <w:proofErr w:type="spellStart"/>
      <w:r>
        <w:t>edgelands</w:t>
      </w:r>
      <w:proofErr w:type="spellEnd"/>
      <w:r>
        <w:t xml:space="preserve"> in my images, his Woods are the people &amp; society and my idea of community, the field, which represents nature and the home that provides safety and where one can find an identity </w:t>
      </w:r>
      <w:sdt>
        <w:sdtPr>
          <w:id w:val="769666266"/>
          <w:citation/>
        </w:sdtPr>
        <w:sdtEndPr/>
        <w:sdtContent>
          <w:r>
            <w:fldChar w:fldCharType="begin"/>
          </w:r>
          <w:r>
            <w:instrText xml:space="preserve">CITATION Wan13 \p 2094 \l 2057 </w:instrText>
          </w:r>
          <w:r>
            <w:fldChar w:fldCharType="separate"/>
          </w:r>
          <w:r w:rsidRPr="008F0DC8">
            <w:rPr>
              <w:noProof/>
            </w:rPr>
            <w:t>(Wang, 2013, p. 2094)</w:t>
          </w:r>
          <w:r>
            <w:fldChar w:fldCharType="end"/>
          </w:r>
        </w:sdtContent>
      </w:sdt>
      <w:r>
        <w:t>. Visually, th</w:t>
      </w:r>
      <w:r w:rsidR="003E235F">
        <w:t xml:space="preserve">ese metaphors are designed to place focus on the people and the landscape and how it co-exists. </w:t>
      </w:r>
      <w:r>
        <w:t xml:space="preserve"> </w:t>
      </w:r>
    </w:p>
    <w:p w14:paraId="002D0E28" w14:textId="32595C06" w:rsidR="006A253A" w:rsidRPr="00AE167A" w:rsidRDefault="00FE6F05" w:rsidP="00911EF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Jess and Darcie</w:t>
      </w:r>
      <w:r w:rsidRPr="00F55C11">
        <w:rPr>
          <w:color w:val="FF0000"/>
        </w:rPr>
        <w:t>)</w:t>
      </w:r>
    </w:p>
    <w:p w14:paraId="15184D21" w14:textId="192C8334" w:rsidR="00373E8E" w:rsidRDefault="002D6F5B" w:rsidP="00911EFA">
      <w:pPr>
        <w:spacing w:line="360" w:lineRule="auto"/>
        <w:jc w:val="both"/>
      </w:pPr>
      <w:r>
        <w:t>The project was</w:t>
      </w:r>
      <w:r w:rsidR="006A253A">
        <w:t xml:space="preserve"> not about creating any objective truth, </w:t>
      </w:r>
      <w:r w:rsidR="00373E8E">
        <w:t>instead using the medium to create something in between fiction and chronicle</w:t>
      </w:r>
      <w:r w:rsidR="003E235F">
        <w:t>,</w:t>
      </w:r>
      <w:r w:rsidR="00373E8E">
        <w:t xml:space="preserve"> again linking to the liminality of the </w:t>
      </w:r>
      <w:proofErr w:type="spellStart"/>
      <w:r w:rsidR="00373E8E">
        <w:t>edgelands</w:t>
      </w:r>
      <w:proofErr w:type="spellEnd"/>
      <w:r w:rsidR="00373E8E">
        <w:t xml:space="preserve"> and rurality concept</w:t>
      </w:r>
      <w:r w:rsidR="006A14B5">
        <w:t>s</w:t>
      </w:r>
      <w:r w:rsidR="00661D9A">
        <w:t>.</w:t>
      </w:r>
    </w:p>
    <w:p w14:paraId="300B7759" w14:textId="51183DED" w:rsidR="00D77A3A" w:rsidRPr="00AE167A" w:rsidRDefault="00D77A3A" w:rsidP="00911EF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Dad with weeds</w:t>
      </w:r>
      <w:r w:rsidRPr="00F55C11">
        <w:rPr>
          <w:color w:val="FF0000"/>
        </w:rPr>
        <w:t>)</w:t>
      </w:r>
    </w:p>
    <w:p w14:paraId="1E7FE9C8" w14:textId="247EAB1C" w:rsidR="00D77A3A" w:rsidRDefault="00661D9A" w:rsidP="00661D9A">
      <w:pPr>
        <w:spacing w:line="360" w:lineRule="auto"/>
        <w:jc w:val="both"/>
      </w:pPr>
      <w:proofErr w:type="spellStart"/>
      <w:r>
        <w:t>Iddiorythm</w:t>
      </w:r>
      <w:proofErr w:type="spellEnd"/>
      <w:r>
        <w:t xml:space="preserve"> </w:t>
      </w:r>
      <w:r w:rsidR="00F07D9F">
        <w:t>is</w:t>
      </w:r>
      <w:r w:rsidR="00894597">
        <w:t xml:space="preserve"> </w:t>
      </w:r>
      <w:r w:rsidR="00DD2054">
        <w:t xml:space="preserve">also a </w:t>
      </w:r>
      <w:r w:rsidR="0026581D">
        <w:t>dichotomy between idealistic versus</w:t>
      </w:r>
      <w:r w:rsidR="00894597">
        <w:t xml:space="preserve"> reality</w:t>
      </w:r>
      <w:r>
        <w:t>. My project represents this by consciously presenting images made during a time of challenge and great stress using photographic methods that romanticise</w:t>
      </w:r>
      <w:r w:rsidR="00DD2054">
        <w:t>, select</w:t>
      </w:r>
      <w:r>
        <w:t xml:space="preserve"> and edit into idealistic moments that I construct</w:t>
      </w:r>
      <w:r w:rsidR="00DD2054">
        <w:t xml:space="preserve"> – a false nostalgia c</w:t>
      </w:r>
      <w:r w:rsidR="00D77A3A">
        <w:t>reated in a present, which could also have been photographed at another point in time</w:t>
      </w:r>
      <w:r>
        <w:t xml:space="preserve">. </w:t>
      </w:r>
    </w:p>
    <w:p w14:paraId="3CB5C177" w14:textId="51A61B99" w:rsidR="00D77A3A" w:rsidRPr="00AE167A" w:rsidRDefault="00D77A3A" w:rsidP="00661D9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 xml:space="preserve">Amy and </w:t>
      </w:r>
      <w:proofErr w:type="spellStart"/>
      <w:r>
        <w:rPr>
          <w:color w:val="FF0000"/>
        </w:rPr>
        <w:t>Wais</w:t>
      </w:r>
      <w:proofErr w:type="spellEnd"/>
      <w:r w:rsidRPr="00F55C11">
        <w:rPr>
          <w:color w:val="FF0000"/>
        </w:rPr>
        <w:t>)</w:t>
      </w:r>
    </w:p>
    <w:p w14:paraId="0BA0A168" w14:textId="6A4CEC1D" w:rsidR="00661D9A" w:rsidRDefault="00661D9A" w:rsidP="00661D9A">
      <w:pPr>
        <w:spacing w:line="360" w:lineRule="auto"/>
        <w:jc w:val="both"/>
      </w:pPr>
      <w:r>
        <w:t xml:space="preserve">What this shows is that even at this present time there are moments of hope and beauty without having to rely on subjective memories from the past. </w:t>
      </w:r>
      <w:r w:rsidR="00DD2054">
        <w:t xml:space="preserve">This </w:t>
      </w:r>
      <w:proofErr w:type="spellStart"/>
      <w:r w:rsidR="00DD2054">
        <w:t>mythologising</w:t>
      </w:r>
      <w:proofErr w:type="spellEnd"/>
      <w:r w:rsidR="00DD2054">
        <w:t xml:space="preserve"> of the present through a metaphorical journey</w:t>
      </w:r>
      <w:r w:rsidR="00F07D9F">
        <w:t xml:space="preserve"> of discovery</w:t>
      </w:r>
      <w:r>
        <w:t xml:space="preserve"> shows us that the romantic and </w:t>
      </w:r>
      <w:r w:rsidR="00DD2054">
        <w:t>ideal is inherent now</w:t>
      </w:r>
      <w:r>
        <w:t xml:space="preserve"> and exists within the places there to be discovered, or re-discovered. The ‘new normal’ is merely part of an evolving normal that occurs naturally, which has only been brought on much faster by current events.</w:t>
      </w:r>
    </w:p>
    <w:p w14:paraId="2A92ECCD" w14:textId="77C1FCE1" w:rsidR="00D77A3A" w:rsidRPr="00AE167A" w:rsidRDefault="00D77A3A" w:rsidP="00661D9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train arches</w:t>
      </w:r>
      <w:r w:rsidRPr="00F55C11">
        <w:rPr>
          <w:color w:val="FF0000"/>
        </w:rPr>
        <w:t>)</w:t>
      </w:r>
    </w:p>
    <w:p w14:paraId="3A5D2AF0" w14:textId="7B364151" w:rsidR="00D71362" w:rsidRPr="00D75219" w:rsidRDefault="00D71362" w:rsidP="00D71362">
      <w:pPr>
        <w:spacing w:line="360" w:lineRule="auto"/>
        <w:jc w:val="both"/>
      </w:pPr>
      <w:r>
        <w:t xml:space="preserve">Watford will potentially go back to its role in the delivery of commuters however, it will in the knowledge that at least one aspect of previous </w:t>
      </w:r>
      <w:proofErr w:type="spellStart"/>
      <w:r>
        <w:t>iddiorythms</w:t>
      </w:r>
      <w:proofErr w:type="spellEnd"/>
      <w:r>
        <w:t xml:space="preserve">, of people’s individual rhythms, is now </w:t>
      </w:r>
      <w:proofErr w:type="gramStart"/>
      <w:r>
        <w:t>a</w:t>
      </w:r>
      <w:proofErr w:type="gramEnd"/>
      <w:r>
        <w:t xml:space="preserve"> acutely shared experience within the local community on some level – even when you see the same faces, you understand a little more about them.</w:t>
      </w:r>
    </w:p>
    <w:p w14:paraId="67CF2426" w14:textId="66CAB462" w:rsidR="005E7964" w:rsidRPr="00F07D9F" w:rsidRDefault="005E7964" w:rsidP="00661D9A">
      <w:pPr>
        <w:spacing w:line="360" w:lineRule="auto"/>
        <w:jc w:val="both"/>
        <w:rPr>
          <w:color w:val="FF0000"/>
        </w:rPr>
      </w:pPr>
      <w:r w:rsidRPr="00FB0B7B">
        <w:rPr>
          <w:b/>
          <w:color w:val="FF0000"/>
        </w:rPr>
        <w:t>Next Slide –</w:t>
      </w:r>
      <w:r w:rsidRPr="00F55C11">
        <w:rPr>
          <w:b/>
          <w:color w:val="FF0000"/>
        </w:rPr>
        <w:t xml:space="preserve"> </w:t>
      </w:r>
      <w:r w:rsidRPr="00F55C11">
        <w:rPr>
          <w:color w:val="FF0000"/>
        </w:rPr>
        <w:t>(</w:t>
      </w:r>
      <w:r>
        <w:rPr>
          <w:color w:val="FF0000"/>
        </w:rPr>
        <w:t>Den</w:t>
      </w:r>
      <w:r w:rsidRPr="00F55C11">
        <w:rPr>
          <w:color w:val="FF0000"/>
        </w:rPr>
        <w:t>)</w:t>
      </w:r>
    </w:p>
    <w:p w14:paraId="0D197BD2" w14:textId="35786BDF" w:rsidR="002C2C98" w:rsidRDefault="002C2C98" w:rsidP="00661D9A">
      <w:pPr>
        <w:spacing w:line="360" w:lineRule="auto"/>
        <w:jc w:val="both"/>
      </w:pPr>
      <w:r>
        <w:t>It is possible to use photography to</w:t>
      </w:r>
      <w:r w:rsidR="003E235F">
        <w:t xml:space="preserve"> create an</w:t>
      </w:r>
      <w:r>
        <w:t xml:space="preserve"> idealistic </w:t>
      </w:r>
      <w:r w:rsidR="003E235F">
        <w:t xml:space="preserve">and </w:t>
      </w:r>
      <w:r>
        <w:t xml:space="preserve">nostalgic view of a </w:t>
      </w:r>
      <w:r w:rsidR="003E235F">
        <w:t xml:space="preserve">contemporary </w:t>
      </w:r>
      <w:r>
        <w:t>community, even when under the current pandemic</w:t>
      </w:r>
      <w:r w:rsidR="00C14DCB">
        <w:t xml:space="preserve">, which </w:t>
      </w:r>
      <w:r w:rsidR="003E235F">
        <w:t>leads to opening</w:t>
      </w:r>
      <w:r>
        <w:t xml:space="preserve"> a dialogue to better appreciate the present.</w:t>
      </w:r>
    </w:p>
    <w:p w14:paraId="22563DAC" w14:textId="3C864F95" w:rsidR="00E7117E" w:rsidRDefault="00E7117E" w:rsidP="00911EFA">
      <w:pPr>
        <w:spacing w:line="360" w:lineRule="auto"/>
        <w:jc w:val="both"/>
      </w:pPr>
    </w:p>
    <w:p w14:paraId="07A7E791" w14:textId="4F6B5062" w:rsidR="00650927" w:rsidRDefault="00650927" w:rsidP="00911EFA">
      <w:pPr>
        <w:spacing w:line="360" w:lineRule="auto"/>
        <w:jc w:val="both"/>
      </w:pPr>
    </w:p>
    <w:sdt>
      <w:sdtPr>
        <w:rPr>
          <w:rFonts w:asciiTheme="minorHAnsi" w:eastAsiaTheme="minorHAnsi" w:hAnsiTheme="minorHAnsi" w:cstheme="minorBidi"/>
          <w:color w:val="auto"/>
          <w:sz w:val="22"/>
          <w:szCs w:val="22"/>
          <w:lang w:val="en-GB"/>
        </w:rPr>
        <w:id w:val="-1582361454"/>
        <w:docPartObj>
          <w:docPartGallery w:val="Bibliographies"/>
          <w:docPartUnique/>
        </w:docPartObj>
      </w:sdtPr>
      <w:sdtEndPr/>
      <w:sdtContent>
        <w:p w14:paraId="14BC029A" w14:textId="09DBD070" w:rsidR="00650927" w:rsidRDefault="00650927">
          <w:pPr>
            <w:pStyle w:val="Heading1"/>
          </w:pPr>
          <w:r>
            <w:t>Bibliography</w:t>
          </w:r>
        </w:p>
        <w:sdt>
          <w:sdtPr>
            <w:id w:val="111145805"/>
            <w:bibliography/>
          </w:sdtPr>
          <w:sdtEndPr/>
          <w:sdtContent>
            <w:p w14:paraId="5DD7575F" w14:textId="77777777" w:rsidR="00650927" w:rsidRDefault="00650927" w:rsidP="00650927">
              <w:pPr>
                <w:pStyle w:val="Bibliography"/>
                <w:rPr>
                  <w:noProof/>
                  <w:sz w:val="24"/>
                  <w:szCs w:val="24"/>
                  <w:lang w:val="en-US"/>
                </w:rPr>
              </w:pPr>
              <w:r>
                <w:fldChar w:fldCharType="begin"/>
              </w:r>
              <w:r>
                <w:instrText xml:space="preserve"> BIBLIOGRAPHY </w:instrText>
              </w:r>
              <w:r>
                <w:fldChar w:fldCharType="separate"/>
              </w:r>
              <w:r>
                <w:rPr>
                  <w:noProof/>
                  <w:lang w:val="en-US"/>
                </w:rPr>
                <w:t xml:space="preserve">Barthes, R., 2012. </w:t>
              </w:r>
              <w:r>
                <w:rPr>
                  <w:i/>
                  <w:iCs/>
                  <w:noProof/>
                  <w:lang w:val="en-US"/>
                </w:rPr>
                <w:t xml:space="preserve">How to Live Together: Novelistic Simulations of some Everyday Spaces. </w:t>
              </w:r>
              <w:r>
                <w:rPr>
                  <w:noProof/>
                  <w:lang w:val="en-US"/>
                </w:rPr>
                <w:t>Translation ed. New York: Columbia University Press.</w:t>
              </w:r>
            </w:p>
            <w:p w14:paraId="293FC55C" w14:textId="77777777" w:rsidR="00650927" w:rsidRDefault="00650927" w:rsidP="00650927">
              <w:pPr>
                <w:pStyle w:val="Bibliography"/>
                <w:rPr>
                  <w:noProof/>
                  <w:lang w:val="en-US"/>
                </w:rPr>
              </w:pPr>
              <w:r>
                <w:rPr>
                  <w:noProof/>
                  <w:lang w:val="en-US"/>
                </w:rPr>
                <w:t xml:space="preserve">Beynon, M., Cawley, A. &amp; Munday, M., 2016. Measuring and Understanding the differences between urban and rural areas, a new approach for planners. </w:t>
              </w:r>
              <w:r>
                <w:rPr>
                  <w:i/>
                  <w:iCs/>
                  <w:noProof/>
                  <w:lang w:val="en-US"/>
                </w:rPr>
                <w:t xml:space="preserve">Environment and Planning B. Urban Analytics and city Science, </w:t>
              </w:r>
              <w:r>
                <w:rPr>
                  <w:noProof/>
                  <w:lang w:val="en-US"/>
                </w:rPr>
                <w:t>43(6).</w:t>
              </w:r>
            </w:p>
            <w:p w14:paraId="0E8318D7" w14:textId="77777777" w:rsidR="00650927" w:rsidRDefault="00650927" w:rsidP="00650927">
              <w:pPr>
                <w:pStyle w:val="Bibliography"/>
                <w:rPr>
                  <w:noProof/>
                  <w:lang w:val="en-US"/>
                </w:rPr>
              </w:pPr>
              <w:r>
                <w:rPr>
                  <w:noProof/>
                  <w:lang w:val="en-US"/>
                </w:rPr>
                <w:t xml:space="preserve">Campany, D., 2020. </w:t>
              </w:r>
              <w:r>
                <w:rPr>
                  <w:i/>
                  <w:iCs/>
                  <w:noProof/>
                  <w:lang w:val="en-US"/>
                </w:rPr>
                <w:t xml:space="preserve">On Photographs. </w:t>
              </w:r>
              <w:r>
                <w:rPr>
                  <w:noProof/>
                  <w:lang w:val="en-US"/>
                </w:rPr>
                <w:t>1 ed. London: Thames and Hudson.</w:t>
              </w:r>
            </w:p>
            <w:p w14:paraId="565CAF58" w14:textId="77777777" w:rsidR="00650927" w:rsidRDefault="00650927" w:rsidP="00650927">
              <w:pPr>
                <w:pStyle w:val="Bibliography"/>
                <w:rPr>
                  <w:noProof/>
                  <w:lang w:val="en-US"/>
                </w:rPr>
              </w:pPr>
              <w:r>
                <w:rPr>
                  <w:noProof/>
                  <w:lang w:val="en-US"/>
                </w:rPr>
                <w:t xml:space="preserve">Campbell, J., 1949. </w:t>
              </w:r>
              <w:r>
                <w:rPr>
                  <w:i/>
                  <w:iCs/>
                  <w:noProof/>
                  <w:lang w:val="en-US"/>
                </w:rPr>
                <w:t xml:space="preserve">A Hero with a Thousand Faces. </w:t>
              </w:r>
              <w:r>
                <w:rPr>
                  <w:noProof/>
                  <w:lang w:val="en-US"/>
                </w:rPr>
                <w:t>New York: Pantheon.</w:t>
              </w:r>
            </w:p>
            <w:p w14:paraId="3CBFA87F" w14:textId="77777777" w:rsidR="00650927" w:rsidRDefault="00650927" w:rsidP="00650927">
              <w:pPr>
                <w:pStyle w:val="Bibliography"/>
                <w:rPr>
                  <w:noProof/>
                  <w:lang w:val="en-US"/>
                </w:rPr>
              </w:pPr>
              <w:r>
                <w:rPr>
                  <w:noProof/>
                  <w:lang w:val="en-US"/>
                </w:rPr>
                <w:t xml:space="preserve">Farley, P. &amp; Symmonds Roberts, M., 2011. </w:t>
              </w:r>
              <w:r>
                <w:rPr>
                  <w:i/>
                  <w:iCs/>
                  <w:noProof/>
                  <w:lang w:val="en-US"/>
                </w:rPr>
                <w:t xml:space="preserve">Edgelands - Journeys into England's true Wilderness. </w:t>
              </w:r>
              <w:r>
                <w:rPr>
                  <w:noProof/>
                  <w:lang w:val="en-US"/>
                </w:rPr>
                <w:t>London: Vintage.</w:t>
              </w:r>
            </w:p>
            <w:p w14:paraId="1FAFEEB3" w14:textId="77777777" w:rsidR="00650927" w:rsidRDefault="00650927" w:rsidP="00650927">
              <w:pPr>
                <w:pStyle w:val="Bibliography"/>
                <w:rPr>
                  <w:noProof/>
                  <w:lang w:val="en-US"/>
                </w:rPr>
              </w:pPr>
              <w:r>
                <w:rPr>
                  <w:noProof/>
                  <w:lang w:val="en-US"/>
                </w:rPr>
                <w:t xml:space="preserve">Frost, R., 1936. </w:t>
              </w:r>
              <w:r>
                <w:rPr>
                  <w:i/>
                  <w:iCs/>
                  <w:noProof/>
                  <w:lang w:val="en-US"/>
                </w:rPr>
                <w:t xml:space="preserve">A Further Range. </w:t>
              </w:r>
              <w:r>
                <w:rPr>
                  <w:noProof/>
                  <w:lang w:val="en-US"/>
                </w:rPr>
                <w:t>Transcribed eBook ed. s.l.:Proofreaders Canada.</w:t>
              </w:r>
            </w:p>
            <w:p w14:paraId="3B650558" w14:textId="77777777" w:rsidR="00650927" w:rsidRDefault="00650927" w:rsidP="00650927">
              <w:pPr>
                <w:pStyle w:val="Bibliography"/>
                <w:rPr>
                  <w:noProof/>
                  <w:lang w:val="en-US"/>
                </w:rPr>
              </w:pPr>
              <w:r>
                <w:rPr>
                  <w:noProof/>
                  <w:lang w:val="en-US"/>
                </w:rPr>
                <w:t xml:space="preserve">Harmon, G., 2018. </w:t>
              </w:r>
              <w:r>
                <w:rPr>
                  <w:i/>
                  <w:iCs/>
                  <w:noProof/>
                  <w:lang w:val="en-US"/>
                </w:rPr>
                <w:t xml:space="preserve">Object Orientated Ontology - A New Theory of Everything. </w:t>
              </w:r>
              <w:r>
                <w:rPr>
                  <w:noProof/>
                  <w:lang w:val="en-US"/>
                </w:rPr>
                <w:t>1st ed. London: Pelican Books.</w:t>
              </w:r>
            </w:p>
            <w:p w14:paraId="2D8AE347" w14:textId="77777777" w:rsidR="00650927" w:rsidRDefault="00650927" w:rsidP="00650927">
              <w:pPr>
                <w:pStyle w:val="Bibliography"/>
                <w:rPr>
                  <w:noProof/>
                  <w:lang w:val="en-US"/>
                </w:rPr>
              </w:pPr>
              <w:r>
                <w:rPr>
                  <w:noProof/>
                  <w:lang w:val="en-US"/>
                </w:rPr>
                <w:t xml:space="preserve">Harmon, G., 2020. </w:t>
              </w:r>
              <w:r>
                <w:rPr>
                  <w:i/>
                  <w:iCs/>
                  <w:noProof/>
                  <w:lang w:val="en-US"/>
                </w:rPr>
                <w:t xml:space="preserve">Art and Objects. </w:t>
              </w:r>
              <w:r>
                <w:rPr>
                  <w:noProof/>
                  <w:lang w:val="en-US"/>
                </w:rPr>
                <w:t>1st Paperback ed. Cambridge: Polity Press.</w:t>
              </w:r>
            </w:p>
            <w:p w14:paraId="443DDA42" w14:textId="77777777" w:rsidR="00650927" w:rsidRDefault="00650927" w:rsidP="00650927">
              <w:pPr>
                <w:pStyle w:val="Bibliography"/>
                <w:rPr>
                  <w:noProof/>
                  <w:lang w:val="en-US"/>
                </w:rPr>
              </w:pPr>
              <w:r>
                <w:rPr>
                  <w:noProof/>
                  <w:lang w:val="en-US"/>
                </w:rPr>
                <w:t xml:space="preserve">Hirsch, M., 1997. </w:t>
              </w:r>
              <w:r>
                <w:rPr>
                  <w:i/>
                  <w:iCs/>
                  <w:noProof/>
                  <w:lang w:val="en-US"/>
                </w:rPr>
                <w:t xml:space="preserve">Family Frames: Photography, Narrative and Postmemory. </w:t>
              </w:r>
              <w:r>
                <w:rPr>
                  <w:noProof/>
                  <w:lang w:val="en-US"/>
                </w:rPr>
                <w:t>2012 Reissue ed. Cambridge, Massachusetts: Harvard University Press.</w:t>
              </w:r>
            </w:p>
            <w:p w14:paraId="13EAEA0D" w14:textId="77777777" w:rsidR="00650927" w:rsidRDefault="00650927" w:rsidP="00650927">
              <w:pPr>
                <w:pStyle w:val="Bibliography"/>
                <w:rPr>
                  <w:noProof/>
                  <w:lang w:val="en-US"/>
                </w:rPr>
              </w:pPr>
              <w:r>
                <w:rPr>
                  <w:noProof/>
                  <w:lang w:val="en-US"/>
                </w:rPr>
                <w:t xml:space="preserve">Keller, S., 1988. The American Dream of Community: An unfinished Agenda. </w:t>
              </w:r>
              <w:r>
                <w:rPr>
                  <w:i/>
                  <w:iCs/>
                  <w:noProof/>
                  <w:lang w:val="en-US"/>
                </w:rPr>
                <w:t xml:space="preserve">Sociological Forum, </w:t>
              </w:r>
              <w:r>
                <w:rPr>
                  <w:noProof/>
                  <w:lang w:val="en-US"/>
                </w:rPr>
                <w:t>3(2), pp. 167-183.</w:t>
              </w:r>
            </w:p>
            <w:p w14:paraId="3621A08E" w14:textId="77777777" w:rsidR="00650927" w:rsidRDefault="00650927" w:rsidP="00650927">
              <w:pPr>
                <w:pStyle w:val="Bibliography"/>
                <w:rPr>
                  <w:noProof/>
                  <w:lang w:val="en-US"/>
                </w:rPr>
              </w:pPr>
              <w:r>
                <w:rPr>
                  <w:noProof/>
                  <w:lang w:val="en-US"/>
                </w:rPr>
                <w:t xml:space="preserve">Shoard, M., 2002. </w:t>
              </w:r>
              <w:r>
                <w:rPr>
                  <w:i/>
                  <w:iCs/>
                  <w:noProof/>
                  <w:lang w:val="en-US"/>
                </w:rPr>
                <w:t xml:space="preserve">Edgelands: Remaking the Landscape. </w:t>
              </w:r>
              <w:r>
                <w:rPr>
                  <w:noProof/>
                  <w:lang w:val="en-US"/>
                </w:rPr>
                <w:t>London: Profile.</w:t>
              </w:r>
            </w:p>
            <w:p w14:paraId="43194B64" w14:textId="77777777" w:rsidR="00650927" w:rsidRDefault="00650927" w:rsidP="00650927">
              <w:pPr>
                <w:pStyle w:val="Bibliography"/>
                <w:rPr>
                  <w:noProof/>
                  <w:lang w:val="en-US"/>
                </w:rPr>
              </w:pPr>
              <w:r>
                <w:rPr>
                  <w:noProof/>
                  <w:lang w:val="en-US"/>
                </w:rPr>
                <w:t xml:space="preserve">Stein, S., 2020. </w:t>
              </w:r>
              <w:r>
                <w:rPr>
                  <w:i/>
                  <w:iCs/>
                  <w:noProof/>
                  <w:lang w:val="en-US"/>
                </w:rPr>
                <w:t xml:space="preserve">Migrant Mother Migrant Gender. </w:t>
              </w:r>
              <w:r>
                <w:rPr>
                  <w:noProof/>
                  <w:lang w:val="en-US"/>
                </w:rPr>
                <w:t>1 ed. London: Mack.</w:t>
              </w:r>
            </w:p>
            <w:p w14:paraId="3C6E1312" w14:textId="77777777" w:rsidR="00650927" w:rsidRDefault="00650927" w:rsidP="00650927">
              <w:pPr>
                <w:pStyle w:val="Bibliography"/>
                <w:rPr>
                  <w:noProof/>
                  <w:lang w:val="en-US"/>
                </w:rPr>
              </w:pPr>
              <w:r>
                <w:rPr>
                  <w:noProof/>
                  <w:lang w:val="en-US"/>
                </w:rPr>
                <w:t xml:space="preserve">Walton, K. L., 2004. </w:t>
              </w:r>
              <w:r>
                <w:rPr>
                  <w:i/>
                  <w:iCs/>
                  <w:noProof/>
                  <w:lang w:val="en-US"/>
                </w:rPr>
                <w:t xml:space="preserve">Are Representations Symbols. </w:t>
              </w:r>
              <w:r>
                <w:rPr>
                  <w:noProof/>
                  <w:lang w:val="en-US"/>
                </w:rPr>
                <w:t>Oxford: Blackwell Publishing.</w:t>
              </w:r>
            </w:p>
            <w:p w14:paraId="65DE67E9" w14:textId="77777777" w:rsidR="00650927" w:rsidRDefault="00650927" w:rsidP="00650927">
              <w:pPr>
                <w:pStyle w:val="Bibliography"/>
                <w:rPr>
                  <w:noProof/>
                  <w:lang w:val="en-US"/>
                </w:rPr>
              </w:pPr>
              <w:r>
                <w:rPr>
                  <w:noProof/>
                  <w:lang w:val="en-US"/>
                </w:rPr>
                <w:t xml:space="preserve">Wang, L., 2013. An Artistic Analysis on Robert Frost's Desert Places. </w:t>
              </w:r>
              <w:r>
                <w:rPr>
                  <w:i/>
                  <w:iCs/>
                  <w:noProof/>
                  <w:lang w:val="en-US"/>
                </w:rPr>
                <w:t xml:space="preserve">Theory and Practice in Language Studies, </w:t>
              </w:r>
              <w:r>
                <w:rPr>
                  <w:noProof/>
                  <w:lang w:val="en-US"/>
                </w:rPr>
                <w:t>3(11), pp. 2092-2097.</w:t>
              </w:r>
            </w:p>
            <w:p w14:paraId="204555B3" w14:textId="77777777" w:rsidR="00650927" w:rsidRDefault="00650927" w:rsidP="00650927">
              <w:pPr>
                <w:pStyle w:val="Bibliography"/>
                <w:rPr>
                  <w:noProof/>
                  <w:lang w:val="en-US"/>
                </w:rPr>
              </w:pPr>
              <w:r>
                <w:rPr>
                  <w:noProof/>
                  <w:lang w:val="en-US"/>
                </w:rPr>
                <w:t xml:space="preserve">Weisheit, D. R. A., Wells, D. L. E. &amp; Falcone, D. D. N., 1995. </w:t>
              </w:r>
              <w:r>
                <w:rPr>
                  <w:i/>
                  <w:iCs/>
                  <w:noProof/>
                  <w:lang w:val="en-US"/>
                </w:rPr>
                <w:t xml:space="preserve">Crime and Policing in Rural and Small Town America: An overview of the issues, </w:t>
              </w:r>
              <w:r>
                <w:rPr>
                  <w:noProof/>
                  <w:lang w:val="en-US"/>
                </w:rPr>
                <w:t>s.l.: National Institute of Justice.</w:t>
              </w:r>
            </w:p>
            <w:p w14:paraId="0BBC8326" w14:textId="4A005579" w:rsidR="00650927" w:rsidRDefault="00650927" w:rsidP="00650927">
              <w:r>
                <w:rPr>
                  <w:b/>
                  <w:bCs/>
                  <w:noProof/>
                </w:rPr>
                <w:fldChar w:fldCharType="end"/>
              </w:r>
            </w:p>
          </w:sdtContent>
        </w:sdt>
      </w:sdtContent>
    </w:sdt>
    <w:p w14:paraId="62F7ADF8" w14:textId="77777777" w:rsidR="00650927" w:rsidRPr="00D75219" w:rsidRDefault="00650927" w:rsidP="00911EFA">
      <w:pPr>
        <w:spacing w:line="360" w:lineRule="auto"/>
        <w:jc w:val="both"/>
      </w:pPr>
    </w:p>
    <w:sectPr w:rsidR="00650927" w:rsidRPr="00D75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74"/>
    <w:rsid w:val="000123AF"/>
    <w:rsid w:val="00020B30"/>
    <w:rsid w:val="000457B9"/>
    <w:rsid w:val="000518CB"/>
    <w:rsid w:val="00052D69"/>
    <w:rsid w:val="000C2F5C"/>
    <w:rsid w:val="00100D7C"/>
    <w:rsid w:val="00105C3B"/>
    <w:rsid w:val="001402AD"/>
    <w:rsid w:val="001463E7"/>
    <w:rsid w:val="001471CD"/>
    <w:rsid w:val="00155724"/>
    <w:rsid w:val="001571F9"/>
    <w:rsid w:val="0026581D"/>
    <w:rsid w:val="00295A15"/>
    <w:rsid w:val="002C2C98"/>
    <w:rsid w:val="002C3E18"/>
    <w:rsid w:val="002D6F5B"/>
    <w:rsid w:val="002E20FC"/>
    <w:rsid w:val="002F7339"/>
    <w:rsid w:val="00321C88"/>
    <w:rsid w:val="003278C1"/>
    <w:rsid w:val="00342E7B"/>
    <w:rsid w:val="00373E8E"/>
    <w:rsid w:val="00393E27"/>
    <w:rsid w:val="003A48B7"/>
    <w:rsid w:val="003B7252"/>
    <w:rsid w:val="003D1FF3"/>
    <w:rsid w:val="003E235F"/>
    <w:rsid w:val="003E67B4"/>
    <w:rsid w:val="004310D1"/>
    <w:rsid w:val="00434679"/>
    <w:rsid w:val="00473A3B"/>
    <w:rsid w:val="00482FDD"/>
    <w:rsid w:val="00491A54"/>
    <w:rsid w:val="00530A6D"/>
    <w:rsid w:val="0054507D"/>
    <w:rsid w:val="00574B1A"/>
    <w:rsid w:val="005B0D7A"/>
    <w:rsid w:val="005C4560"/>
    <w:rsid w:val="005C4BBD"/>
    <w:rsid w:val="005E52E5"/>
    <w:rsid w:val="005E7964"/>
    <w:rsid w:val="005F7BF3"/>
    <w:rsid w:val="00602FB6"/>
    <w:rsid w:val="00620687"/>
    <w:rsid w:val="00650927"/>
    <w:rsid w:val="00655B89"/>
    <w:rsid w:val="00661D9A"/>
    <w:rsid w:val="0067598F"/>
    <w:rsid w:val="00675A39"/>
    <w:rsid w:val="006A14B5"/>
    <w:rsid w:val="006A253A"/>
    <w:rsid w:val="006B686D"/>
    <w:rsid w:val="006D305B"/>
    <w:rsid w:val="006D3A6B"/>
    <w:rsid w:val="006E2CDF"/>
    <w:rsid w:val="006E4BB7"/>
    <w:rsid w:val="00721217"/>
    <w:rsid w:val="00764451"/>
    <w:rsid w:val="007E134F"/>
    <w:rsid w:val="00834BDF"/>
    <w:rsid w:val="00860942"/>
    <w:rsid w:val="00875D26"/>
    <w:rsid w:val="00894597"/>
    <w:rsid w:val="00897C3B"/>
    <w:rsid w:val="008B2E4F"/>
    <w:rsid w:val="008C2403"/>
    <w:rsid w:val="008E1725"/>
    <w:rsid w:val="00911EFA"/>
    <w:rsid w:val="0092747E"/>
    <w:rsid w:val="009678C9"/>
    <w:rsid w:val="00996A43"/>
    <w:rsid w:val="009D2F31"/>
    <w:rsid w:val="009D4CDB"/>
    <w:rsid w:val="009E1B92"/>
    <w:rsid w:val="00A02FD1"/>
    <w:rsid w:val="00A2695A"/>
    <w:rsid w:val="00A66A2B"/>
    <w:rsid w:val="00A965B5"/>
    <w:rsid w:val="00AD0C6B"/>
    <w:rsid w:val="00AE167A"/>
    <w:rsid w:val="00AF2274"/>
    <w:rsid w:val="00AF3D4A"/>
    <w:rsid w:val="00B3202F"/>
    <w:rsid w:val="00B4540B"/>
    <w:rsid w:val="00B474FF"/>
    <w:rsid w:val="00B706F8"/>
    <w:rsid w:val="00B96055"/>
    <w:rsid w:val="00BD31FD"/>
    <w:rsid w:val="00C13D86"/>
    <w:rsid w:val="00C14DCB"/>
    <w:rsid w:val="00C242BA"/>
    <w:rsid w:val="00C83AB3"/>
    <w:rsid w:val="00C95322"/>
    <w:rsid w:val="00CA0D34"/>
    <w:rsid w:val="00CB3C66"/>
    <w:rsid w:val="00CC5742"/>
    <w:rsid w:val="00CD3937"/>
    <w:rsid w:val="00D1454A"/>
    <w:rsid w:val="00D431E2"/>
    <w:rsid w:val="00D548BC"/>
    <w:rsid w:val="00D70D14"/>
    <w:rsid w:val="00D71362"/>
    <w:rsid w:val="00D75219"/>
    <w:rsid w:val="00D77A3A"/>
    <w:rsid w:val="00DD01D8"/>
    <w:rsid w:val="00DD2054"/>
    <w:rsid w:val="00E35586"/>
    <w:rsid w:val="00E4591E"/>
    <w:rsid w:val="00E7117E"/>
    <w:rsid w:val="00EB47F7"/>
    <w:rsid w:val="00ED1F8F"/>
    <w:rsid w:val="00ED55BE"/>
    <w:rsid w:val="00F07D9F"/>
    <w:rsid w:val="00F22330"/>
    <w:rsid w:val="00F27A9B"/>
    <w:rsid w:val="00F40E9D"/>
    <w:rsid w:val="00F46479"/>
    <w:rsid w:val="00F637DF"/>
    <w:rsid w:val="00FA37DC"/>
    <w:rsid w:val="00FB0B7B"/>
    <w:rsid w:val="00FE6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E263"/>
  <w15:chartTrackingRefBased/>
  <w15:docId w15:val="{B7454986-DFC8-4404-866C-69083A2D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927"/>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0A6D"/>
    <w:rPr>
      <w:sz w:val="16"/>
      <w:szCs w:val="16"/>
    </w:rPr>
  </w:style>
  <w:style w:type="paragraph" w:styleId="CommentText">
    <w:name w:val="annotation text"/>
    <w:basedOn w:val="Normal"/>
    <w:link w:val="CommentTextChar"/>
    <w:uiPriority w:val="99"/>
    <w:semiHidden/>
    <w:unhideWhenUsed/>
    <w:rsid w:val="00530A6D"/>
    <w:pPr>
      <w:spacing w:line="240" w:lineRule="auto"/>
    </w:pPr>
    <w:rPr>
      <w:sz w:val="20"/>
      <w:szCs w:val="20"/>
    </w:rPr>
  </w:style>
  <w:style w:type="character" w:customStyle="1" w:styleId="CommentTextChar">
    <w:name w:val="Comment Text Char"/>
    <w:basedOn w:val="DefaultParagraphFont"/>
    <w:link w:val="CommentText"/>
    <w:uiPriority w:val="99"/>
    <w:semiHidden/>
    <w:rsid w:val="00530A6D"/>
    <w:rPr>
      <w:sz w:val="20"/>
      <w:szCs w:val="20"/>
    </w:rPr>
  </w:style>
  <w:style w:type="paragraph" w:styleId="CommentSubject">
    <w:name w:val="annotation subject"/>
    <w:basedOn w:val="CommentText"/>
    <w:next w:val="CommentText"/>
    <w:link w:val="CommentSubjectChar"/>
    <w:uiPriority w:val="99"/>
    <w:semiHidden/>
    <w:unhideWhenUsed/>
    <w:rsid w:val="00530A6D"/>
    <w:rPr>
      <w:b/>
      <w:bCs/>
    </w:rPr>
  </w:style>
  <w:style w:type="character" w:customStyle="1" w:styleId="CommentSubjectChar">
    <w:name w:val="Comment Subject Char"/>
    <w:basedOn w:val="CommentTextChar"/>
    <w:link w:val="CommentSubject"/>
    <w:uiPriority w:val="99"/>
    <w:semiHidden/>
    <w:rsid w:val="00530A6D"/>
    <w:rPr>
      <w:b/>
      <w:bCs/>
      <w:sz w:val="20"/>
      <w:szCs w:val="20"/>
    </w:rPr>
  </w:style>
  <w:style w:type="paragraph" w:styleId="BalloonText">
    <w:name w:val="Balloon Text"/>
    <w:basedOn w:val="Normal"/>
    <w:link w:val="BalloonTextChar"/>
    <w:uiPriority w:val="99"/>
    <w:semiHidden/>
    <w:unhideWhenUsed/>
    <w:rsid w:val="00530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A6D"/>
    <w:rPr>
      <w:rFonts w:ascii="Segoe UI" w:hAnsi="Segoe UI" w:cs="Segoe UI"/>
      <w:sz w:val="18"/>
      <w:szCs w:val="18"/>
    </w:rPr>
  </w:style>
  <w:style w:type="character" w:customStyle="1" w:styleId="Heading1Char">
    <w:name w:val="Heading 1 Char"/>
    <w:basedOn w:val="DefaultParagraphFont"/>
    <w:link w:val="Heading1"/>
    <w:uiPriority w:val="9"/>
    <w:rsid w:val="00650927"/>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650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1989">
      <w:bodyDiv w:val="1"/>
      <w:marLeft w:val="0"/>
      <w:marRight w:val="0"/>
      <w:marTop w:val="0"/>
      <w:marBottom w:val="0"/>
      <w:divBdr>
        <w:top w:val="none" w:sz="0" w:space="0" w:color="auto"/>
        <w:left w:val="none" w:sz="0" w:space="0" w:color="auto"/>
        <w:bottom w:val="none" w:sz="0" w:space="0" w:color="auto"/>
        <w:right w:val="none" w:sz="0" w:space="0" w:color="auto"/>
      </w:divBdr>
    </w:div>
    <w:div w:id="235749831">
      <w:bodyDiv w:val="1"/>
      <w:marLeft w:val="0"/>
      <w:marRight w:val="0"/>
      <w:marTop w:val="0"/>
      <w:marBottom w:val="0"/>
      <w:divBdr>
        <w:top w:val="none" w:sz="0" w:space="0" w:color="auto"/>
        <w:left w:val="none" w:sz="0" w:space="0" w:color="auto"/>
        <w:bottom w:val="none" w:sz="0" w:space="0" w:color="auto"/>
        <w:right w:val="none" w:sz="0" w:space="0" w:color="auto"/>
      </w:divBdr>
    </w:div>
    <w:div w:id="261694195">
      <w:bodyDiv w:val="1"/>
      <w:marLeft w:val="0"/>
      <w:marRight w:val="0"/>
      <w:marTop w:val="0"/>
      <w:marBottom w:val="0"/>
      <w:divBdr>
        <w:top w:val="none" w:sz="0" w:space="0" w:color="auto"/>
        <w:left w:val="none" w:sz="0" w:space="0" w:color="auto"/>
        <w:bottom w:val="none" w:sz="0" w:space="0" w:color="auto"/>
        <w:right w:val="none" w:sz="0" w:space="0" w:color="auto"/>
      </w:divBdr>
    </w:div>
    <w:div w:id="323976996">
      <w:bodyDiv w:val="1"/>
      <w:marLeft w:val="0"/>
      <w:marRight w:val="0"/>
      <w:marTop w:val="0"/>
      <w:marBottom w:val="0"/>
      <w:divBdr>
        <w:top w:val="none" w:sz="0" w:space="0" w:color="auto"/>
        <w:left w:val="none" w:sz="0" w:space="0" w:color="auto"/>
        <w:bottom w:val="none" w:sz="0" w:space="0" w:color="auto"/>
        <w:right w:val="none" w:sz="0" w:space="0" w:color="auto"/>
      </w:divBdr>
    </w:div>
    <w:div w:id="344791239">
      <w:bodyDiv w:val="1"/>
      <w:marLeft w:val="0"/>
      <w:marRight w:val="0"/>
      <w:marTop w:val="0"/>
      <w:marBottom w:val="0"/>
      <w:divBdr>
        <w:top w:val="none" w:sz="0" w:space="0" w:color="auto"/>
        <w:left w:val="none" w:sz="0" w:space="0" w:color="auto"/>
        <w:bottom w:val="none" w:sz="0" w:space="0" w:color="auto"/>
        <w:right w:val="none" w:sz="0" w:space="0" w:color="auto"/>
      </w:divBdr>
    </w:div>
    <w:div w:id="1238445421">
      <w:bodyDiv w:val="1"/>
      <w:marLeft w:val="0"/>
      <w:marRight w:val="0"/>
      <w:marTop w:val="0"/>
      <w:marBottom w:val="0"/>
      <w:divBdr>
        <w:top w:val="none" w:sz="0" w:space="0" w:color="auto"/>
        <w:left w:val="none" w:sz="0" w:space="0" w:color="auto"/>
        <w:bottom w:val="none" w:sz="0" w:space="0" w:color="auto"/>
        <w:right w:val="none" w:sz="0" w:space="0" w:color="auto"/>
      </w:divBdr>
    </w:div>
    <w:div w:id="1321735480">
      <w:bodyDiv w:val="1"/>
      <w:marLeft w:val="0"/>
      <w:marRight w:val="0"/>
      <w:marTop w:val="0"/>
      <w:marBottom w:val="0"/>
      <w:divBdr>
        <w:top w:val="none" w:sz="0" w:space="0" w:color="auto"/>
        <w:left w:val="none" w:sz="0" w:space="0" w:color="auto"/>
        <w:bottom w:val="none" w:sz="0" w:space="0" w:color="auto"/>
        <w:right w:val="none" w:sz="0" w:space="0" w:color="auto"/>
      </w:divBdr>
    </w:div>
    <w:div w:id="1339842962">
      <w:bodyDiv w:val="1"/>
      <w:marLeft w:val="0"/>
      <w:marRight w:val="0"/>
      <w:marTop w:val="0"/>
      <w:marBottom w:val="0"/>
      <w:divBdr>
        <w:top w:val="none" w:sz="0" w:space="0" w:color="auto"/>
        <w:left w:val="none" w:sz="0" w:space="0" w:color="auto"/>
        <w:bottom w:val="none" w:sz="0" w:space="0" w:color="auto"/>
        <w:right w:val="none" w:sz="0" w:space="0" w:color="auto"/>
      </w:divBdr>
    </w:div>
    <w:div w:id="1403983862">
      <w:bodyDiv w:val="1"/>
      <w:marLeft w:val="0"/>
      <w:marRight w:val="0"/>
      <w:marTop w:val="0"/>
      <w:marBottom w:val="0"/>
      <w:divBdr>
        <w:top w:val="none" w:sz="0" w:space="0" w:color="auto"/>
        <w:left w:val="none" w:sz="0" w:space="0" w:color="auto"/>
        <w:bottom w:val="none" w:sz="0" w:space="0" w:color="auto"/>
        <w:right w:val="none" w:sz="0" w:space="0" w:color="auto"/>
      </w:divBdr>
    </w:div>
    <w:div w:id="1509903434">
      <w:bodyDiv w:val="1"/>
      <w:marLeft w:val="0"/>
      <w:marRight w:val="0"/>
      <w:marTop w:val="0"/>
      <w:marBottom w:val="0"/>
      <w:divBdr>
        <w:top w:val="none" w:sz="0" w:space="0" w:color="auto"/>
        <w:left w:val="none" w:sz="0" w:space="0" w:color="auto"/>
        <w:bottom w:val="none" w:sz="0" w:space="0" w:color="auto"/>
        <w:right w:val="none" w:sz="0" w:space="0" w:color="auto"/>
      </w:divBdr>
    </w:div>
    <w:div w:id="1555236163">
      <w:bodyDiv w:val="1"/>
      <w:marLeft w:val="0"/>
      <w:marRight w:val="0"/>
      <w:marTop w:val="0"/>
      <w:marBottom w:val="0"/>
      <w:divBdr>
        <w:top w:val="none" w:sz="0" w:space="0" w:color="auto"/>
        <w:left w:val="none" w:sz="0" w:space="0" w:color="auto"/>
        <w:bottom w:val="none" w:sz="0" w:space="0" w:color="auto"/>
        <w:right w:val="none" w:sz="0" w:space="0" w:color="auto"/>
      </w:divBdr>
    </w:div>
    <w:div w:id="1935504938">
      <w:bodyDiv w:val="1"/>
      <w:marLeft w:val="0"/>
      <w:marRight w:val="0"/>
      <w:marTop w:val="0"/>
      <w:marBottom w:val="0"/>
      <w:divBdr>
        <w:top w:val="none" w:sz="0" w:space="0" w:color="auto"/>
        <w:left w:val="none" w:sz="0" w:space="0" w:color="auto"/>
        <w:bottom w:val="none" w:sz="0" w:space="0" w:color="auto"/>
        <w:right w:val="none" w:sz="0" w:space="0" w:color="auto"/>
      </w:divBdr>
    </w:div>
    <w:div w:id="1958674818">
      <w:bodyDiv w:val="1"/>
      <w:marLeft w:val="0"/>
      <w:marRight w:val="0"/>
      <w:marTop w:val="0"/>
      <w:marBottom w:val="0"/>
      <w:divBdr>
        <w:top w:val="none" w:sz="0" w:space="0" w:color="auto"/>
        <w:left w:val="none" w:sz="0" w:space="0" w:color="auto"/>
        <w:bottom w:val="none" w:sz="0" w:space="0" w:color="auto"/>
        <w:right w:val="none" w:sz="0" w:space="0" w:color="auto"/>
      </w:divBdr>
    </w:div>
    <w:div w:id="1988363566">
      <w:bodyDiv w:val="1"/>
      <w:marLeft w:val="0"/>
      <w:marRight w:val="0"/>
      <w:marTop w:val="0"/>
      <w:marBottom w:val="0"/>
      <w:divBdr>
        <w:top w:val="none" w:sz="0" w:space="0" w:color="auto"/>
        <w:left w:val="none" w:sz="0" w:space="0" w:color="auto"/>
        <w:bottom w:val="none" w:sz="0" w:space="0" w:color="auto"/>
        <w:right w:val="none" w:sz="0" w:space="0" w:color="auto"/>
      </w:divBdr>
    </w:div>
    <w:div w:id="2043163565">
      <w:bodyDiv w:val="1"/>
      <w:marLeft w:val="0"/>
      <w:marRight w:val="0"/>
      <w:marTop w:val="0"/>
      <w:marBottom w:val="0"/>
      <w:divBdr>
        <w:top w:val="none" w:sz="0" w:space="0" w:color="auto"/>
        <w:left w:val="none" w:sz="0" w:space="0" w:color="auto"/>
        <w:bottom w:val="none" w:sz="0" w:space="0" w:color="auto"/>
        <w:right w:val="none" w:sz="0" w:space="0" w:color="auto"/>
      </w:divBdr>
    </w:div>
    <w:div w:id="2047678818">
      <w:bodyDiv w:val="1"/>
      <w:marLeft w:val="0"/>
      <w:marRight w:val="0"/>
      <w:marTop w:val="0"/>
      <w:marBottom w:val="0"/>
      <w:divBdr>
        <w:top w:val="none" w:sz="0" w:space="0" w:color="auto"/>
        <w:left w:val="none" w:sz="0" w:space="0" w:color="auto"/>
        <w:bottom w:val="none" w:sz="0" w:space="0" w:color="auto"/>
        <w:right w:val="none" w:sz="0" w:space="0" w:color="auto"/>
      </w:divBdr>
    </w:div>
    <w:div w:id="213779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Bey16</b:Tag>
    <b:SourceType>JournalArticle</b:SourceType>
    <b:Guid>{AC4CF0F8-0370-40D4-9A81-FC4D4CEED9FA}</b:Guid>
    <b:Title>Measuring and Understanding the differences between urban and rural areas, a new approach for planners</b:Title>
    <b:Year>2016</b:Year>
    <b:Author>
      <b:Author>
        <b:NameList>
          <b:Person>
            <b:Last>Beynon</b:Last>
            <b:First>Malcom</b:First>
          </b:Person>
          <b:Person>
            <b:Last>Cawley</b:Last>
            <b:First>Andrew</b:First>
          </b:Person>
          <b:Person>
            <b:Last>Munday</b:Last>
            <b:First>Max</b:First>
          </b:Person>
        </b:NameList>
      </b:Author>
    </b:Author>
    <b:JournalName>Environment and Planning B. Urban Analytics and city Science</b:JournalName>
    <b:Volume>43</b:Volume>
    <b:Issue>6</b:Issue>
    <b:RefOrder>4</b:RefOrder>
  </b:Source>
  <b:Source>
    <b:Tag>Wei95</b:Tag>
    <b:SourceType>Report</b:SourceType>
    <b:Guid>{BAB9ED56-838F-4314-AA72-75BC98C30441}</b:Guid>
    <b:Title>Crime and Policing in Rural and Small Town America: An overview of the issues</b:Title>
    <b:Year>1995</b:Year>
    <b:Author>
      <b:Author>
        <b:NameList>
          <b:Person>
            <b:Last>Weisheit</b:Last>
            <b:First>Dr.</b:First>
            <b:Middle>Ralph A</b:Middle>
          </b:Person>
          <b:Person>
            <b:Last>Wells</b:Last>
            <b:First>Dr.</b:First>
            <b:Middle>L. Edward</b:Middle>
          </b:Person>
          <b:Person>
            <b:Last>Falcone</b:Last>
            <b:First>Dr.</b:First>
            <b:Middle>David N.</b:Middle>
          </b:Person>
        </b:NameList>
      </b:Author>
    </b:Author>
    <b:Publisher>National Institute of Justice</b:Publisher>
    <b:RefOrder>5</b:RefOrder>
  </b:Source>
  <b:Source>
    <b:Tag>Har18</b:Tag>
    <b:SourceType>Book</b:SourceType>
    <b:Guid>{BE25566D-DD1F-469F-B409-A13BF8FA3E46}</b:Guid>
    <b:Title>Object Orientated Ontology - A New Theory of Everything</b:Title>
    <b:Year>2018</b:Year>
    <b:Author>
      <b:Author>
        <b:NameList>
          <b:Person>
            <b:Last>Harmon</b:Last>
            <b:First>Graham</b:First>
          </b:Person>
        </b:NameList>
      </b:Author>
    </b:Author>
    <b:City>London</b:City>
    <b:Publisher>Pelican Books</b:Publisher>
    <b:Edition>1st</b:Edition>
    <b:RefOrder>8</b:RefOrder>
  </b:Source>
  <b:Source>
    <b:Tag>Har201</b:Tag>
    <b:SourceType>Book</b:SourceType>
    <b:Guid>{28C56059-6AF9-4789-A77C-D029A03FF43B}</b:Guid>
    <b:Title>Art and Objects</b:Title>
    <b:Year>2020</b:Year>
    <b:Author>
      <b:Author>
        <b:NameList>
          <b:Person>
            <b:Last>Harmon</b:Last>
            <b:First>Graham</b:First>
          </b:Person>
        </b:NameList>
      </b:Author>
    </b:Author>
    <b:City>Cambridge</b:City>
    <b:Publisher>Polity Press</b:Publisher>
    <b:Edition>1st Paperback</b:Edition>
    <b:RefOrder>9</b:RefOrder>
  </b:Source>
  <b:Source>
    <b:Tag>Wan13</b:Tag>
    <b:SourceType>JournalArticle</b:SourceType>
    <b:Guid>{C2ECBC18-4B54-428C-8483-B999E3507911}</b:Guid>
    <b:Title>An Artistic Analysis on Robert Frost's Desert Places</b:Title>
    <b:Year>2013</b:Year>
    <b:Author>
      <b:Author>
        <b:NameList>
          <b:Person>
            <b:Last>Wang</b:Last>
            <b:First>Li</b:First>
          </b:Person>
        </b:NameList>
      </b:Author>
    </b:Author>
    <b:JournalName>Theory and Practice in Language Studies</b:JournalName>
    <b:Pages>2092-2097</b:Pages>
    <b:Volume>3</b:Volume>
    <b:Issue>11</b:Issue>
    <b:RefOrder>15</b:RefOrder>
  </b:Source>
  <b:Source>
    <b:Tag>Cam201</b:Tag>
    <b:SourceType>Book</b:SourceType>
    <b:Guid>{F3377093-3909-499C-8B48-92C8F0B54AA9}</b:Guid>
    <b:Title>On Photographs</b:Title>
    <b:Year>2020</b:Year>
    <b:Author>
      <b:Author>
        <b:NameList>
          <b:Person>
            <b:Last>Campany</b:Last>
            <b:First>David</b:First>
          </b:Person>
        </b:NameList>
      </b:Author>
    </b:Author>
    <b:City>London</b:City>
    <b:Publisher>Thames and Hudson</b:Publisher>
    <b:Edition>1</b:Edition>
    <b:RefOrder>10</b:RefOrder>
  </b:Source>
  <b:Source>
    <b:Tag>Ste20</b:Tag>
    <b:SourceType>Book</b:SourceType>
    <b:Guid>{ABC666DD-8B21-4763-80E0-DE5D77E8516B}</b:Guid>
    <b:Title>Migrant Mother Migrant Gender</b:Title>
    <b:Year>2020</b:Year>
    <b:City>London</b:City>
    <b:Publisher>Mack</b:Publisher>
    <b:Author>
      <b:Author>
        <b:NameList>
          <b:Person>
            <b:Last>Stein</b:Last>
            <b:First>Sally</b:First>
          </b:Person>
        </b:NameList>
      </b:Author>
    </b:Author>
    <b:Edition>1</b:Edition>
    <b:RefOrder>11</b:RefOrder>
  </b:Source>
  <b:Source>
    <b:Tag>Bar121</b:Tag>
    <b:SourceType>Book</b:SourceType>
    <b:Guid>{D6445327-724B-49D6-9780-B2E5DDC82D15}</b:Guid>
    <b:Title>How to Live Together: Novelistic Simulations of some Everyday Spaces</b:Title>
    <b:Year>2012</b:Year>
    <b:Publisher>Columbia University Press</b:Publisher>
    <b:City>New York</b:City>
    <b:Author>
      <b:Author>
        <b:NameList>
          <b:Person>
            <b:Last>Barthes</b:Last>
            <b:First>Roland</b:First>
          </b:Person>
        </b:NameList>
      </b:Author>
    </b:Author>
    <b:Edition>Translation</b:Edition>
    <b:RefOrder>3</b:RefOrder>
  </b:Source>
  <b:Source>
    <b:Tag>Far11</b:Tag>
    <b:SourceType>Book</b:SourceType>
    <b:Guid>{2AA61A2B-E2B1-4FE5-94BF-D2C42B778641}</b:Guid>
    <b:Title>Edgelands - Journeys into England's true Wilderness</b:Title>
    <b:Year>2011</b:Year>
    <b:Author>
      <b:Author>
        <b:NameList>
          <b:Person>
            <b:Last>Farley</b:Last>
            <b:First>Paul</b:First>
          </b:Person>
          <b:Person>
            <b:Last>Symmonds Roberts</b:Last>
            <b:First>Michael</b:First>
          </b:Person>
        </b:NameList>
      </b:Author>
    </b:Author>
    <b:City>London</b:City>
    <b:Publisher>Vintage</b:Publisher>
    <b:RefOrder>7</b:RefOrder>
  </b:Source>
  <b:Source>
    <b:Tag>Wal04</b:Tag>
    <b:SourceType>Book</b:SourceType>
    <b:Guid>{073529DF-A3CB-46A0-AAE9-E76D8B14B015}</b:Guid>
    <b:Title>Are Representations Symbols</b:Title>
    <b:Year>2004</b:Year>
    <b:City>Oxford</b:City>
    <b:Publisher>Blackwell Publishing</b:Publisher>
    <b:Author>
      <b:Author>
        <b:NameList>
          <b:Person>
            <b:Last>Walton</b:Last>
            <b:First>Kendall</b:First>
            <b:Middle>L</b:Middle>
          </b:Person>
        </b:NameList>
      </b:Author>
    </b:Author>
    <b:RefOrder>12</b:RefOrder>
  </b:Source>
  <b:Source>
    <b:Tag>Sho02</b:Tag>
    <b:SourceType>Book</b:SourceType>
    <b:Guid>{E14C897E-B3A6-4629-B0C0-888A2CBB53BB}</b:Guid>
    <b:Title>Edgelands: Remaking the Landscape</b:Title>
    <b:Year>2002</b:Year>
    <b:City>London</b:City>
    <b:Publisher>Profile</b:Publisher>
    <b:Author>
      <b:Author>
        <b:NameList>
          <b:Person>
            <b:Last>Shoard</b:Last>
            <b:First>Marion</b:First>
          </b:Person>
        </b:NameList>
      </b:Author>
    </b:Author>
    <b:RefOrder>6</b:RefOrder>
  </b:Source>
  <b:Source>
    <b:Tag>Cam49</b:Tag>
    <b:SourceType>Book</b:SourceType>
    <b:Guid>{AD6426DE-85E4-49A6-AAFA-C40CE42579AD}</b:Guid>
    <b:Author>
      <b:Author>
        <b:NameList>
          <b:Person>
            <b:Last>Campbell</b:Last>
            <b:First>Joseph</b:First>
          </b:Person>
        </b:NameList>
      </b:Author>
    </b:Author>
    <b:Title>A Hero with a Thousand Faces</b:Title>
    <b:Year>1949</b:Year>
    <b:City>New York</b:City>
    <b:Publisher>Pantheon</b:Publisher>
    <b:RefOrder>14</b:RefOrder>
  </b:Source>
  <b:Source>
    <b:Tag>Kel88</b:Tag>
    <b:SourceType>JournalArticle</b:SourceType>
    <b:Guid>{DD941DE7-D32E-4953-AF44-AEA32E35DB0E}</b:Guid>
    <b:Title>The American Dream of Community: An unfinished Agenda</b:Title>
    <b:Year>1988</b:Year>
    <b:Author>
      <b:Author>
        <b:NameList>
          <b:Person>
            <b:Last>Keller</b:Last>
            <b:First>Suzanne</b:First>
          </b:Person>
        </b:NameList>
      </b:Author>
    </b:Author>
    <b:JournalName>Sociological Forum</b:JournalName>
    <b:Pages>167-183</b:Pages>
    <b:Volume>3</b:Volume>
    <b:Issue>2</b:Issue>
    <b:RefOrder>1</b:RefOrder>
  </b:Source>
  <b:Source>
    <b:Tag>Hir97</b:Tag>
    <b:SourceType>Book</b:SourceType>
    <b:Guid>{1E258EC1-5E8F-4694-9E49-58D05A044A6C}</b:Guid>
    <b:Author>
      <b:Author>
        <b:NameList>
          <b:Person>
            <b:Last>Hirsch</b:Last>
            <b:First>Marianne</b:First>
          </b:Person>
        </b:NameList>
      </b:Author>
    </b:Author>
    <b:Title>Family Frames: Photography, Narrative and Postmemory</b:Title>
    <b:Year>1997</b:Year>
    <b:City>Cambridge, Massachusetts</b:City>
    <b:Publisher>Harvard University Press</b:Publisher>
    <b:Edition>2012 Reissue</b:Edition>
    <b:RefOrder>2</b:RefOrder>
  </b:Source>
  <b:Source>
    <b:Tag>Fro36</b:Tag>
    <b:SourceType>Book</b:SourceType>
    <b:Guid>{65DC4E2E-049F-4016-BD28-98C1138EAE1F}</b:Guid>
    <b:Author>
      <b:Author>
        <b:NameList>
          <b:Person>
            <b:Last>Frost</b:Last>
            <b:First>Robert</b:First>
          </b:Person>
        </b:NameList>
      </b:Author>
    </b:Author>
    <b:Title>A Further Range</b:Title>
    <b:Year>1936</b:Year>
    <b:Publisher>Proofreaders Canada</b:Publisher>
    <b:Edition>Transcribed eBook</b:Edition>
    <b:RefOrder>13</b:RefOrder>
  </b:Source>
</b:Sources>
</file>

<file path=customXml/itemProps1.xml><?xml version="1.0" encoding="utf-8"?>
<ds:datastoreItem xmlns:ds="http://schemas.openxmlformats.org/officeDocument/2006/customXml" ds:itemID="{350259DF-D459-42A8-9D9B-95852470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8</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Hill</dc:creator>
  <cp:keywords/>
  <dc:description/>
  <cp:lastModifiedBy>Philip Hill</cp:lastModifiedBy>
  <cp:revision>22</cp:revision>
  <dcterms:created xsi:type="dcterms:W3CDTF">2021-04-10T17:21:00Z</dcterms:created>
  <dcterms:modified xsi:type="dcterms:W3CDTF">2021-04-12T19:30:00Z</dcterms:modified>
</cp:coreProperties>
</file>